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D64539" w:rsidRPr="000477E1" w14:paraId="7D859C5E" w14:textId="77777777" w:rsidTr="008128B5">
        <w:trPr>
          <w:cnfStyle w:val="100000000000" w:firstRow="1" w:lastRow="0" w:firstColumn="0" w:lastColumn="0" w:oddVBand="0" w:evenVBand="0" w:oddHBand="0" w:evenHBand="0" w:firstRowFirstColumn="0" w:firstRowLastColumn="0" w:lastRowFirstColumn="0" w:lastRowLastColumn="0"/>
          <w:trHeight w:val="1337"/>
        </w:trPr>
        <w:tc>
          <w:tcPr>
            <w:tcW w:w="7038" w:type="dxa"/>
          </w:tcPr>
          <w:p w14:paraId="17A00D93" w14:textId="77777777" w:rsidR="00D64539" w:rsidRPr="001E49B2" w:rsidRDefault="00D64539" w:rsidP="008128B5">
            <w:pPr>
              <w:pStyle w:val="TitleSub"/>
              <w:spacing w:after="0"/>
              <w:rPr>
                <w:rFonts w:cs="Arial"/>
              </w:rPr>
            </w:pPr>
            <w:r w:rsidRPr="001E49B2">
              <w:rPr>
                <w:rFonts w:cs="Arial"/>
              </w:rPr>
              <w:t xml:space="preserve">Role Description </w:t>
            </w:r>
          </w:p>
          <w:p w14:paraId="723574C6" w14:textId="4CF20AF3" w:rsidR="00D64539" w:rsidRPr="001E49B2" w:rsidRDefault="00D64539" w:rsidP="008128B5">
            <w:pPr>
              <w:pStyle w:val="TitleSub"/>
              <w:spacing w:after="0"/>
              <w:rPr>
                <w:rFonts w:cs="Arial"/>
                <w:b/>
              </w:rPr>
            </w:pPr>
            <w:r>
              <w:rPr>
                <w:rFonts w:cs="Arial"/>
                <w:b/>
              </w:rPr>
              <w:t>Liquor Store Manager</w:t>
            </w:r>
          </w:p>
        </w:tc>
        <w:tc>
          <w:tcPr>
            <w:tcW w:w="3665" w:type="dxa"/>
          </w:tcPr>
          <w:p w14:paraId="07CDCEDD" w14:textId="77777777" w:rsidR="00D64539" w:rsidRPr="000477E1" w:rsidRDefault="00D64539" w:rsidP="008128B5">
            <w:pPr>
              <w:jc w:val="right"/>
            </w:pPr>
            <w:r>
              <w:rPr>
                <w:noProof/>
              </w:rPr>
              <w:drawing>
                <wp:inline distT="0" distB="0" distL="0" distR="0" wp14:anchorId="09CCC92C" wp14:editId="104E5CC0">
                  <wp:extent cx="1536065" cy="725170"/>
                  <wp:effectExtent l="0" t="0" r="6985" b="0"/>
                  <wp:docPr id="1932816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065" cy="725170"/>
                          </a:xfrm>
                          <a:prstGeom prst="rect">
                            <a:avLst/>
                          </a:prstGeom>
                          <a:noFill/>
                        </pic:spPr>
                      </pic:pic>
                    </a:graphicData>
                  </a:graphic>
                </wp:inline>
              </w:drawing>
            </w:r>
          </w:p>
        </w:tc>
      </w:tr>
    </w:tbl>
    <w:p w14:paraId="54CECD8E" w14:textId="7C9AE0DE" w:rsidR="00076EAB" w:rsidRDefault="00D64539" w:rsidP="00D64539">
      <w:pPr>
        <w:tabs>
          <w:tab w:val="left" w:pos="4190"/>
        </w:tabs>
      </w:pPr>
      <w:r>
        <w:tab/>
      </w:r>
    </w:p>
    <w:p w14:paraId="03B6D1EC" w14:textId="77777777" w:rsidR="00D64539" w:rsidRPr="00076EAB" w:rsidRDefault="00D64539"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6942136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1CB0A571"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3FC7A642" w14:textId="77777777" w:rsidR="00C90657" w:rsidRPr="00C90657" w:rsidRDefault="005C4C30" w:rsidP="003E0D69">
            <w:pPr>
              <w:pStyle w:val="TableTextWhite"/>
              <w:rPr>
                <w:b/>
              </w:rPr>
            </w:pPr>
            <w:r>
              <w:rPr>
                <w:b/>
              </w:rPr>
              <w:t>Details</w:t>
            </w:r>
          </w:p>
        </w:tc>
      </w:tr>
      <w:tr w:rsidR="007723F5" w:rsidRPr="00C978B9" w14:paraId="54116329" w14:textId="77777777" w:rsidTr="00725F9B">
        <w:trPr>
          <w:cantSplit/>
        </w:trPr>
        <w:tc>
          <w:tcPr>
            <w:tcW w:w="4026" w:type="dxa"/>
          </w:tcPr>
          <w:p w14:paraId="26EE758A" w14:textId="173980E8" w:rsidR="007723F5" w:rsidRPr="00853F21" w:rsidRDefault="007723F5" w:rsidP="007723F5">
            <w:pPr>
              <w:pStyle w:val="TableTextWhite"/>
              <w:rPr>
                <w:b/>
              </w:rPr>
            </w:pPr>
            <w:r w:rsidRPr="00491D9A">
              <w:t>Cluster</w:t>
            </w:r>
          </w:p>
        </w:tc>
        <w:tc>
          <w:tcPr>
            <w:tcW w:w="6530" w:type="dxa"/>
          </w:tcPr>
          <w:p w14:paraId="251FE7EE" w14:textId="372D90DA" w:rsidR="007723F5" w:rsidRPr="00853F21" w:rsidRDefault="007723F5" w:rsidP="007723F5">
            <w:pPr>
              <w:pStyle w:val="TableTextWhite"/>
              <w:rPr>
                <w:b/>
              </w:rPr>
            </w:pPr>
            <w:r w:rsidRPr="00491D9A">
              <w:t>Climate Change Energy Environment and Water</w:t>
            </w:r>
          </w:p>
        </w:tc>
      </w:tr>
      <w:tr w:rsidR="007723F5" w:rsidRPr="00C978B9" w14:paraId="5BA4CF41" w14:textId="77777777" w:rsidTr="00F31243">
        <w:trPr>
          <w:cantSplit/>
        </w:trPr>
        <w:tc>
          <w:tcPr>
            <w:tcW w:w="4026" w:type="dxa"/>
          </w:tcPr>
          <w:p w14:paraId="3A160399" w14:textId="66EC44F5" w:rsidR="007723F5" w:rsidRPr="007723F5" w:rsidRDefault="007723F5" w:rsidP="007723F5">
            <w:pPr>
              <w:pStyle w:val="TableTextWhite"/>
            </w:pPr>
            <w:bookmarkStart w:id="0" w:name="DeptAgency"/>
            <w:bookmarkEnd w:id="0"/>
            <w:r w:rsidRPr="007723F5">
              <w:t>Agency</w:t>
            </w:r>
          </w:p>
        </w:tc>
        <w:tc>
          <w:tcPr>
            <w:tcW w:w="6530" w:type="dxa"/>
          </w:tcPr>
          <w:p w14:paraId="7994C70A" w14:textId="538B69E3" w:rsidR="007723F5" w:rsidRPr="007723F5" w:rsidRDefault="007723F5" w:rsidP="007723F5">
            <w:pPr>
              <w:pStyle w:val="TableTextWhite"/>
            </w:pPr>
            <w:r w:rsidRPr="007723F5">
              <w:t>Department of Climate Change, Energy, the environment and Water</w:t>
            </w:r>
          </w:p>
        </w:tc>
      </w:tr>
      <w:tr w:rsidR="00DA6BE6" w:rsidRPr="00C978B9" w14:paraId="3461B187" w14:textId="77777777" w:rsidTr="00103875">
        <w:trPr>
          <w:cantSplit/>
        </w:trPr>
        <w:tc>
          <w:tcPr>
            <w:tcW w:w="4026" w:type="dxa"/>
            <w:vAlign w:val="center"/>
          </w:tcPr>
          <w:p w14:paraId="5CAFDDEF" w14:textId="77777777" w:rsidR="00DA6BE6" w:rsidRPr="007723F5" w:rsidRDefault="00DA6BE6" w:rsidP="003E0D69">
            <w:pPr>
              <w:pStyle w:val="TableTextWhite"/>
            </w:pPr>
            <w:r w:rsidRPr="007723F5">
              <w:t>Division/Branch/Unit</w:t>
            </w:r>
          </w:p>
        </w:tc>
        <w:tc>
          <w:tcPr>
            <w:tcW w:w="6530" w:type="dxa"/>
          </w:tcPr>
          <w:p w14:paraId="61E1F430" w14:textId="6AF114CF" w:rsidR="00DA6BE6" w:rsidRPr="007723F5" w:rsidRDefault="007723F5" w:rsidP="003E0D69">
            <w:pPr>
              <w:pStyle w:val="TableTextWhite"/>
            </w:pPr>
            <w:r w:rsidRPr="007723F5">
              <w:t>Lord</w:t>
            </w:r>
            <w:r>
              <w:t xml:space="preserve"> Howe Island Board/ Business and Corporate Services</w:t>
            </w:r>
          </w:p>
        </w:tc>
      </w:tr>
      <w:tr w:rsidR="007723F5" w:rsidRPr="00C978B9" w14:paraId="50E899FB" w14:textId="77777777" w:rsidTr="00103875">
        <w:trPr>
          <w:cantSplit/>
        </w:trPr>
        <w:tc>
          <w:tcPr>
            <w:tcW w:w="4026" w:type="dxa"/>
            <w:vAlign w:val="center"/>
          </w:tcPr>
          <w:p w14:paraId="4576FE89" w14:textId="6CB5E4A6" w:rsidR="007723F5" w:rsidRPr="007723F5" w:rsidRDefault="007723F5" w:rsidP="003E0D69">
            <w:pPr>
              <w:pStyle w:val="TableTextWhite"/>
              <w:rPr>
                <w:bCs/>
              </w:rPr>
            </w:pPr>
            <w:r w:rsidRPr="007723F5">
              <w:rPr>
                <w:bCs/>
              </w:rPr>
              <w:t xml:space="preserve">Location </w:t>
            </w:r>
          </w:p>
        </w:tc>
        <w:tc>
          <w:tcPr>
            <w:tcW w:w="6530" w:type="dxa"/>
          </w:tcPr>
          <w:p w14:paraId="010FA990" w14:textId="24932796" w:rsidR="007723F5" w:rsidRPr="007723F5" w:rsidRDefault="007723F5" w:rsidP="003E0D69">
            <w:pPr>
              <w:pStyle w:val="TableTextWhite"/>
              <w:rPr>
                <w:bCs/>
              </w:rPr>
            </w:pPr>
            <w:r w:rsidRPr="007723F5">
              <w:rPr>
                <w:bCs/>
              </w:rPr>
              <w:t xml:space="preserve">Lord Howe Island </w:t>
            </w:r>
          </w:p>
        </w:tc>
      </w:tr>
      <w:tr w:rsidR="00DA6BE6" w:rsidRPr="00C978B9" w14:paraId="38185AD0" w14:textId="77777777" w:rsidTr="00103875">
        <w:trPr>
          <w:cantSplit/>
        </w:trPr>
        <w:tc>
          <w:tcPr>
            <w:tcW w:w="4026" w:type="dxa"/>
            <w:vAlign w:val="center"/>
          </w:tcPr>
          <w:p w14:paraId="2CD335BC" w14:textId="77777777" w:rsidR="00DA6BE6" w:rsidRPr="007723F5" w:rsidRDefault="00DA6BE6" w:rsidP="003E0D69">
            <w:pPr>
              <w:pStyle w:val="TableTextWhite"/>
              <w:rPr>
                <w:bCs/>
                <w:color w:val="000000"/>
              </w:rPr>
            </w:pPr>
            <w:r w:rsidRPr="007723F5">
              <w:rPr>
                <w:bCs/>
              </w:rPr>
              <w:t>Classification/Grade/Band</w:t>
            </w:r>
          </w:p>
        </w:tc>
        <w:tc>
          <w:tcPr>
            <w:tcW w:w="6530" w:type="dxa"/>
          </w:tcPr>
          <w:p w14:paraId="3DC134EE" w14:textId="33C507C7" w:rsidR="00DA6BE6" w:rsidRPr="007723F5" w:rsidRDefault="00CE24B1" w:rsidP="003E0D69">
            <w:pPr>
              <w:pStyle w:val="TableTextWhite"/>
              <w:rPr>
                <w:bCs/>
              </w:rPr>
            </w:pPr>
            <w:r w:rsidRPr="007723F5">
              <w:rPr>
                <w:bCs/>
              </w:rPr>
              <w:t>LHI Officer Grade 5</w:t>
            </w:r>
          </w:p>
        </w:tc>
      </w:tr>
      <w:tr w:rsidR="00DA6BE6" w:rsidRPr="00C978B9" w14:paraId="7C5DAC1C" w14:textId="77777777" w:rsidTr="00103875">
        <w:trPr>
          <w:cantSplit/>
        </w:trPr>
        <w:tc>
          <w:tcPr>
            <w:tcW w:w="4026" w:type="dxa"/>
            <w:vAlign w:val="center"/>
          </w:tcPr>
          <w:p w14:paraId="7D410223" w14:textId="77777777" w:rsidR="00DA6BE6" w:rsidRPr="007723F5" w:rsidRDefault="00DA6BE6" w:rsidP="003E0D69">
            <w:pPr>
              <w:pStyle w:val="TableTextWhite"/>
              <w:rPr>
                <w:bCs/>
                <w:color w:val="000000"/>
              </w:rPr>
            </w:pPr>
            <w:r w:rsidRPr="007723F5">
              <w:rPr>
                <w:bCs/>
              </w:rPr>
              <w:t>ANZSCO Code</w:t>
            </w:r>
          </w:p>
        </w:tc>
        <w:tc>
          <w:tcPr>
            <w:tcW w:w="6530" w:type="dxa"/>
          </w:tcPr>
          <w:p w14:paraId="41FC0521" w14:textId="77777777" w:rsidR="00DA6BE6" w:rsidRPr="007723F5" w:rsidRDefault="004A3696" w:rsidP="003E0D69">
            <w:pPr>
              <w:pStyle w:val="TableTextWhite"/>
              <w:rPr>
                <w:bCs/>
              </w:rPr>
            </w:pPr>
            <w:r w:rsidRPr="007723F5">
              <w:rPr>
                <w:bCs/>
              </w:rPr>
              <w:t>142111</w:t>
            </w:r>
          </w:p>
        </w:tc>
      </w:tr>
      <w:tr w:rsidR="00DA6BE6" w:rsidRPr="00C978B9" w14:paraId="3A1894D9" w14:textId="77777777" w:rsidTr="00103875">
        <w:trPr>
          <w:cantSplit/>
        </w:trPr>
        <w:tc>
          <w:tcPr>
            <w:tcW w:w="4026" w:type="dxa"/>
            <w:vAlign w:val="center"/>
          </w:tcPr>
          <w:p w14:paraId="30A0A84E" w14:textId="77777777" w:rsidR="00DA6BE6" w:rsidRPr="007723F5" w:rsidRDefault="00DA6BE6" w:rsidP="003E0D69">
            <w:pPr>
              <w:pStyle w:val="TableTextWhite"/>
              <w:rPr>
                <w:bCs/>
                <w:color w:val="000000"/>
              </w:rPr>
            </w:pPr>
            <w:r w:rsidRPr="007723F5">
              <w:rPr>
                <w:bCs/>
              </w:rPr>
              <w:t>PCAT Code</w:t>
            </w:r>
          </w:p>
        </w:tc>
        <w:tc>
          <w:tcPr>
            <w:tcW w:w="6530" w:type="dxa"/>
          </w:tcPr>
          <w:p w14:paraId="1E65952D" w14:textId="77777777" w:rsidR="00DA6BE6" w:rsidRPr="007723F5" w:rsidRDefault="004A3696" w:rsidP="003E0D69">
            <w:pPr>
              <w:pStyle w:val="TableTextWhite"/>
              <w:rPr>
                <w:bCs/>
              </w:rPr>
            </w:pPr>
            <w:r w:rsidRPr="007723F5">
              <w:rPr>
                <w:bCs/>
              </w:rPr>
              <w:t>1119192</w:t>
            </w:r>
          </w:p>
        </w:tc>
      </w:tr>
      <w:tr w:rsidR="00DA6BE6" w:rsidRPr="00C978B9" w14:paraId="6C526732" w14:textId="77777777" w:rsidTr="00103875">
        <w:trPr>
          <w:cantSplit/>
        </w:trPr>
        <w:tc>
          <w:tcPr>
            <w:tcW w:w="4026" w:type="dxa"/>
            <w:vAlign w:val="center"/>
          </w:tcPr>
          <w:p w14:paraId="5C1316D5" w14:textId="77777777" w:rsidR="00DA6BE6" w:rsidRPr="007723F5" w:rsidRDefault="00DA6BE6" w:rsidP="003E0D69">
            <w:pPr>
              <w:pStyle w:val="TableTextWhite"/>
              <w:rPr>
                <w:bCs/>
                <w:color w:val="000000"/>
              </w:rPr>
            </w:pPr>
            <w:r w:rsidRPr="007723F5">
              <w:rPr>
                <w:bCs/>
              </w:rPr>
              <w:t>Date of Approval</w:t>
            </w:r>
          </w:p>
        </w:tc>
        <w:tc>
          <w:tcPr>
            <w:tcW w:w="6530" w:type="dxa"/>
          </w:tcPr>
          <w:p w14:paraId="635FC696" w14:textId="6BBE48D7" w:rsidR="00DA6BE6" w:rsidRPr="007723F5" w:rsidRDefault="00CE24B1" w:rsidP="003E0D69">
            <w:pPr>
              <w:pStyle w:val="TableTextWhite"/>
              <w:rPr>
                <w:bCs/>
              </w:rPr>
            </w:pPr>
            <w:r w:rsidRPr="007723F5">
              <w:rPr>
                <w:bCs/>
              </w:rPr>
              <w:t xml:space="preserve">August </w:t>
            </w:r>
            <w:r w:rsidR="004A3696" w:rsidRPr="007723F5">
              <w:rPr>
                <w:bCs/>
              </w:rPr>
              <w:t>2023</w:t>
            </w:r>
          </w:p>
        </w:tc>
      </w:tr>
      <w:tr w:rsidR="004A3696" w:rsidRPr="00C978B9" w14:paraId="3659D2C3" w14:textId="77777777" w:rsidTr="00103875">
        <w:trPr>
          <w:cantSplit/>
        </w:trPr>
        <w:tc>
          <w:tcPr>
            <w:tcW w:w="4026" w:type="dxa"/>
            <w:vAlign w:val="center"/>
          </w:tcPr>
          <w:p w14:paraId="304DC8EC" w14:textId="77777777" w:rsidR="004A3696" w:rsidRPr="007723F5" w:rsidRDefault="004A3696" w:rsidP="003E0D69">
            <w:pPr>
              <w:pStyle w:val="TableTextWhite"/>
              <w:rPr>
                <w:bCs/>
              </w:rPr>
            </w:pPr>
            <w:r w:rsidRPr="007723F5">
              <w:rPr>
                <w:bCs/>
              </w:rPr>
              <w:t>Agency Website</w:t>
            </w:r>
          </w:p>
        </w:tc>
        <w:tc>
          <w:tcPr>
            <w:tcW w:w="6530" w:type="dxa"/>
          </w:tcPr>
          <w:p w14:paraId="3321E4F8" w14:textId="77777777" w:rsidR="004A3696" w:rsidRPr="007723F5" w:rsidRDefault="004A3696" w:rsidP="003E0D69">
            <w:pPr>
              <w:pStyle w:val="TableTextWhite"/>
              <w:rPr>
                <w:bCs/>
              </w:rPr>
            </w:pPr>
            <w:r w:rsidRPr="007723F5">
              <w:rPr>
                <w:bCs/>
              </w:rPr>
              <w:t>ww.lhib.nsw.gov.au</w:t>
            </w:r>
          </w:p>
        </w:tc>
      </w:tr>
    </w:tbl>
    <w:p w14:paraId="2EF7666C" w14:textId="77777777" w:rsidR="00057CB3" w:rsidRPr="00C978B9" w:rsidRDefault="004A3696" w:rsidP="00FB27B0">
      <w:pPr>
        <w:pStyle w:val="Heading2"/>
      </w:pPr>
      <w:r w:rsidRPr="004A3696">
        <w:t>Agency overview</w:t>
      </w:r>
    </w:p>
    <w:p w14:paraId="4F663735" w14:textId="77777777" w:rsidR="007723F5" w:rsidRDefault="007723F5" w:rsidP="007723F5">
      <w:pPr>
        <w:tabs>
          <w:tab w:val="left" w:pos="2925"/>
        </w:tabs>
        <w:rPr>
          <w:rFonts w:eastAsia="Times New Roman" w:cs="Arial"/>
        </w:rPr>
      </w:pPr>
      <w:bookmarkStart w:id="1" w:name="_Hlk30003721"/>
      <w:r w:rsidRPr="008314CB">
        <w:rPr>
          <w:rFonts w:eastAsia="Times New Roman" w:cs="Arial"/>
        </w:rPr>
        <w:t>The Lord Howe Island Board is a statutory authority established under the provisions of the Lord Howe Island Act. The Board is responsible to the NSW Minister for the Environment and comprises four Islanders elected by the local community and three members appointed by the Minister. It is charged with the care, control and management of the Island and the affairs and trade of the Island. It is also responsible for the care, improvement and welfare of the Island and residents. “Island” as defined by the Act includes Lord Howe Island and all adjacent islands and coral reefs within one marine league of the Island. Ball’s Pyramid and adjacent islands are also included in this definition.</w:t>
      </w:r>
    </w:p>
    <w:p w14:paraId="1F60DBD3" w14:textId="77777777" w:rsidR="007723F5" w:rsidRPr="00EF0AB7" w:rsidRDefault="007723F5" w:rsidP="007723F5">
      <w:pPr>
        <w:shd w:val="clear" w:color="auto" w:fill="FFFFFF"/>
        <w:spacing w:before="100" w:beforeAutospacing="1" w:after="100" w:afterAutospacing="1"/>
        <w:rPr>
          <w:rFonts w:eastAsia="Times New Roman" w:cs="Arial"/>
          <w:color w:val="201F1E"/>
          <w:lang w:eastAsia="en-AU"/>
        </w:rPr>
      </w:pPr>
      <w:r>
        <w:rPr>
          <w:rFonts w:eastAsia="Times New Roman" w:cs="Arial"/>
        </w:rPr>
        <w:t>The Lord Howe Island Board is part of the Climate Change, Energy, the Environment and Water cluster. Lord Howe Island Board members of staff are employed under section 21 of the Government Sector Employment and Management Act by the Department of Climate Change, Energy, the Environment and Water (DCCEEW). Ensuring a sustainable NSW through climate change and energy action, water management, environment and heritage protection.</w:t>
      </w:r>
    </w:p>
    <w:p w14:paraId="18FE58BA" w14:textId="77777777" w:rsidR="004A3696" w:rsidRPr="00C978B9" w:rsidRDefault="004A3696" w:rsidP="00144F5D">
      <w:pPr>
        <w:pStyle w:val="Heading2"/>
        <w:jc w:val="both"/>
      </w:pPr>
      <w:r w:rsidRPr="00C978B9">
        <w:t>Primary purpose of t</w:t>
      </w:r>
      <w:r>
        <w:t>h</w:t>
      </w:r>
      <w:r w:rsidRPr="00C978B9">
        <w:t>e role</w:t>
      </w:r>
    </w:p>
    <w:p w14:paraId="709E83ED" w14:textId="77777777" w:rsidR="004A3696" w:rsidRPr="00A55204" w:rsidRDefault="004A3696" w:rsidP="00144F5D">
      <w:pPr>
        <w:jc w:val="both"/>
        <w:rPr>
          <w:bCs/>
          <w:lang w:eastAsia="en-AU"/>
        </w:rPr>
      </w:pPr>
      <w:r>
        <w:t>Manage the Board’s Liquor Sales in accordance with Board policies and provide a high standard of customer service while ensuring that profitability levels from liquor sales are maintained and annual operating budget targets are met.</w:t>
      </w:r>
    </w:p>
    <w:bookmarkEnd w:id="1"/>
    <w:p w14:paraId="0C380952" w14:textId="77777777" w:rsidR="00057CB3" w:rsidRPr="00980BCA" w:rsidRDefault="00057CB3" w:rsidP="00144F5D">
      <w:pPr>
        <w:pStyle w:val="Heading2"/>
        <w:jc w:val="both"/>
      </w:pPr>
      <w:r w:rsidRPr="00980BCA">
        <w:t xml:space="preserve">Key </w:t>
      </w:r>
      <w:r w:rsidR="00043B92" w:rsidRPr="00980BCA">
        <w:t>a</w:t>
      </w:r>
      <w:r w:rsidRPr="00980BCA">
        <w:t>ccountabilities</w:t>
      </w:r>
    </w:p>
    <w:p w14:paraId="5CCA49C2" w14:textId="77777777" w:rsidR="00AE44C3" w:rsidRDefault="00144F5D" w:rsidP="00144F5D">
      <w:pPr>
        <w:pStyle w:val="ListBullet"/>
        <w:jc w:val="both"/>
        <w:rPr>
          <w:lang w:eastAsia="en-AU"/>
        </w:rPr>
      </w:pPr>
      <w:r>
        <w:t>Manage the Board’s Liquor sales, including the Liquor Store to ensure compliance to Board policies and regulations, financial viability, quality products, responsive ordering and customer service.</w:t>
      </w:r>
    </w:p>
    <w:p w14:paraId="577C6F71" w14:textId="77777777" w:rsidR="00AE44C3" w:rsidRDefault="00144F5D" w:rsidP="00144F5D">
      <w:pPr>
        <w:pStyle w:val="ListBullet"/>
        <w:jc w:val="both"/>
        <w:rPr>
          <w:lang w:eastAsia="en-AU"/>
        </w:rPr>
      </w:pPr>
      <w:r>
        <w:t xml:space="preserve">Ensure accuracy of sales through correct product computer </w:t>
      </w:r>
      <w:proofErr w:type="spellStart"/>
      <w:r>
        <w:t>codings</w:t>
      </w:r>
      <w:proofErr w:type="spellEnd"/>
      <w:r>
        <w:t xml:space="preserve"> and prices.</w:t>
      </w:r>
    </w:p>
    <w:p w14:paraId="5BCC2554" w14:textId="77777777" w:rsidR="00AE44C3" w:rsidRDefault="00144F5D" w:rsidP="00144F5D">
      <w:pPr>
        <w:pStyle w:val="ListBullet"/>
        <w:jc w:val="both"/>
        <w:rPr>
          <w:lang w:eastAsia="en-AU"/>
        </w:rPr>
      </w:pPr>
      <w:r>
        <w:t>Undertake daily reconciliation of Cash Sales and Account Sales with computer generated Sales Reports in accordance with Audit requirements.</w:t>
      </w:r>
    </w:p>
    <w:p w14:paraId="41C0FB35" w14:textId="77777777" w:rsidR="00AE44C3" w:rsidRDefault="00144F5D" w:rsidP="00144F5D">
      <w:pPr>
        <w:pStyle w:val="ListBullet"/>
        <w:jc w:val="both"/>
        <w:rPr>
          <w:lang w:eastAsia="en-AU"/>
        </w:rPr>
      </w:pPr>
      <w:r>
        <w:t>Undertake data entry of stock received into Liquor Store inventory and ensure month-end stocktakes are properly conducted and inventory levels and stock variations are accurately recorded.</w:t>
      </w:r>
    </w:p>
    <w:p w14:paraId="2371E51D" w14:textId="77777777" w:rsidR="00AE44C3" w:rsidRDefault="00144F5D" w:rsidP="00144F5D">
      <w:pPr>
        <w:pStyle w:val="ListBullet"/>
        <w:jc w:val="both"/>
        <w:rPr>
          <w:lang w:eastAsia="en-AU"/>
        </w:rPr>
      </w:pPr>
      <w:r>
        <w:t>Review product landed costs ensuring Liquor Store product profit margins are maintained.</w:t>
      </w:r>
    </w:p>
    <w:p w14:paraId="636F609A" w14:textId="77777777" w:rsidR="00AE44C3" w:rsidRDefault="00144F5D" w:rsidP="00144F5D">
      <w:pPr>
        <w:pStyle w:val="ListBullet"/>
        <w:jc w:val="both"/>
        <w:rPr>
          <w:lang w:eastAsia="en-AU"/>
        </w:rPr>
      </w:pPr>
      <w:r>
        <w:lastRenderedPageBreak/>
        <w:t>Undertake economic ordering of stock from Suppliers, taking into account seasonal fluctuations, to ensure there is an efficient flow of stock.</w:t>
      </w:r>
    </w:p>
    <w:p w14:paraId="42D9D055" w14:textId="77777777" w:rsidR="00AE44C3" w:rsidRDefault="00144F5D" w:rsidP="00144F5D">
      <w:pPr>
        <w:pStyle w:val="ListBullet"/>
        <w:jc w:val="both"/>
        <w:rPr>
          <w:lang w:eastAsia="en-AU"/>
        </w:rPr>
      </w:pPr>
      <w:r>
        <w:t>Prepare accounting and financial management reports from the Liquor store’s computerised accounting system to provide information on the ongoing profitability and financial viability of the Liquor Store.</w:t>
      </w:r>
    </w:p>
    <w:p w14:paraId="391A254C" w14:textId="2FB586EE" w:rsidR="00AE44C3" w:rsidRDefault="00144F5D" w:rsidP="00144F5D">
      <w:pPr>
        <w:pStyle w:val="ListBullet"/>
        <w:jc w:val="both"/>
        <w:rPr>
          <w:lang w:eastAsia="en-AU"/>
        </w:rPr>
      </w:pPr>
      <w:r>
        <w:t xml:space="preserve">Manage and train staff to ensure the ongoing, </w:t>
      </w:r>
      <w:r w:rsidR="00E02FAD">
        <w:t xml:space="preserve">and </w:t>
      </w:r>
      <w:r>
        <w:t>effective operation of the Liquor Store, including during periods of Manager’s Leave.</w:t>
      </w:r>
    </w:p>
    <w:p w14:paraId="3B1594F9" w14:textId="77777777" w:rsidR="00057CB3" w:rsidRPr="00C978B9" w:rsidRDefault="00057CB3" w:rsidP="00144F5D">
      <w:pPr>
        <w:pStyle w:val="Heading2"/>
        <w:jc w:val="both"/>
      </w:pPr>
      <w:r w:rsidRPr="00C978B9">
        <w:t>Key</w:t>
      </w:r>
      <w:r w:rsidR="00E31CD3" w:rsidRPr="00C978B9">
        <w:t xml:space="preserve"> </w:t>
      </w:r>
      <w:r w:rsidR="00043B92">
        <w:t>c</w:t>
      </w:r>
      <w:r w:rsidRPr="00C978B9">
        <w:t>hallenges</w:t>
      </w:r>
    </w:p>
    <w:p w14:paraId="4600EF6C" w14:textId="77777777" w:rsidR="00AE44C3" w:rsidRDefault="00144F5D" w:rsidP="00144F5D">
      <w:pPr>
        <w:pStyle w:val="ListBullet"/>
        <w:jc w:val="both"/>
        <w:rPr>
          <w:lang w:eastAsia="en-AU"/>
        </w:rPr>
      </w:pPr>
      <w:r>
        <w:t>Liaising with suppliers to ensure a reliable supply, and timely delivery of, appropriate stock.</w:t>
      </w:r>
    </w:p>
    <w:p w14:paraId="2CEDC958" w14:textId="77777777" w:rsidR="00AE44C3" w:rsidRDefault="00144F5D" w:rsidP="00144F5D">
      <w:pPr>
        <w:pStyle w:val="ListBullet"/>
        <w:jc w:val="both"/>
        <w:rPr>
          <w:lang w:eastAsia="en-AU"/>
        </w:rPr>
      </w:pPr>
      <w:r>
        <w:t>Providing excellent customer service at all times, despite some customers being difficult.</w:t>
      </w:r>
    </w:p>
    <w:p w14:paraId="3951F6E8" w14:textId="77777777" w:rsidR="00057CB3" w:rsidRDefault="00043B92" w:rsidP="00144F5D">
      <w:pPr>
        <w:pStyle w:val="Heading2"/>
        <w:jc w:val="both"/>
      </w:pPr>
      <w:r>
        <w:t>Key r</w:t>
      </w:r>
      <w:r w:rsidR="00057CB3" w:rsidRPr="00C978B9">
        <w:t>elationships</w:t>
      </w:r>
    </w:p>
    <w:p w14:paraId="1879F621" w14:textId="77777777" w:rsidR="00C34914" w:rsidRDefault="00C34914" w:rsidP="00144F5D">
      <w:pPr>
        <w:spacing w:before="360"/>
        <w:jc w:val="both"/>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573B4FFC"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9E40D48" w14:textId="77777777" w:rsidR="00057CB3" w:rsidRPr="00C978B9" w:rsidRDefault="00057CB3" w:rsidP="00144F5D">
            <w:pPr>
              <w:pStyle w:val="TableTextWhite0"/>
              <w:jc w:val="both"/>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CDE4CF6" w14:textId="77777777" w:rsidR="00057CB3" w:rsidRPr="00C978B9" w:rsidRDefault="00057CB3" w:rsidP="00144F5D">
            <w:pPr>
              <w:pStyle w:val="TableTextWhite0"/>
              <w:jc w:val="both"/>
            </w:pPr>
            <w:r w:rsidRPr="00C978B9">
              <w:t>Why</w:t>
            </w:r>
          </w:p>
        </w:tc>
      </w:tr>
      <w:tr w:rsidR="0002436B" w:rsidRPr="00C978B9" w14:paraId="6634CAEA" w14:textId="77777777" w:rsidTr="00103875">
        <w:trPr>
          <w:cantSplit/>
        </w:trPr>
        <w:tc>
          <w:tcPr>
            <w:tcW w:w="3601" w:type="dxa"/>
          </w:tcPr>
          <w:p w14:paraId="19784F7D" w14:textId="77777777" w:rsidR="0002436B" w:rsidRPr="00A15CDB" w:rsidRDefault="00596C1A" w:rsidP="00144F5D">
            <w:pPr>
              <w:pStyle w:val="TableText"/>
              <w:jc w:val="both"/>
            </w:pPr>
            <w:bookmarkStart w:id="2" w:name="InternalRelationships"/>
            <w:r>
              <w:t>Unit Manager</w:t>
            </w:r>
          </w:p>
        </w:tc>
        <w:tc>
          <w:tcPr>
            <w:tcW w:w="6946" w:type="dxa"/>
          </w:tcPr>
          <w:p w14:paraId="378E3930" w14:textId="77777777" w:rsidR="00AE44C3" w:rsidRPr="00E02FAD" w:rsidRDefault="00144F5D" w:rsidP="00144F5D">
            <w:pPr>
              <w:pStyle w:val="ListBullet"/>
              <w:jc w:val="both"/>
              <w:rPr>
                <w:sz w:val="20"/>
                <w:lang w:eastAsia="en-AU"/>
              </w:rPr>
            </w:pPr>
            <w:r w:rsidRPr="00E02FAD">
              <w:rPr>
                <w:sz w:val="20"/>
              </w:rPr>
              <w:t>Receive direction from, report to, and collaborate with, the Unit Manager. Performance Management rests with the Unit Manager.</w:t>
            </w:r>
          </w:p>
        </w:tc>
      </w:tr>
      <w:tr w:rsidR="0002436B" w:rsidRPr="00C978B9" w14:paraId="2E45F1C8" w14:textId="77777777" w:rsidTr="00103875">
        <w:trPr>
          <w:cantSplit/>
        </w:trPr>
        <w:tc>
          <w:tcPr>
            <w:tcW w:w="3601" w:type="dxa"/>
          </w:tcPr>
          <w:p w14:paraId="1259631B" w14:textId="77777777" w:rsidR="0002436B" w:rsidRPr="00A15CDB" w:rsidRDefault="00596C1A" w:rsidP="00144F5D">
            <w:pPr>
              <w:pStyle w:val="TableText"/>
              <w:jc w:val="both"/>
            </w:pPr>
            <w:r>
              <w:t>Other Managers</w:t>
            </w:r>
          </w:p>
        </w:tc>
        <w:tc>
          <w:tcPr>
            <w:tcW w:w="6946" w:type="dxa"/>
          </w:tcPr>
          <w:p w14:paraId="0A3BAC19" w14:textId="77777777" w:rsidR="00AE44C3" w:rsidRPr="00E02FAD" w:rsidRDefault="00144F5D" w:rsidP="00144F5D">
            <w:pPr>
              <w:pStyle w:val="ListBullet"/>
              <w:jc w:val="both"/>
              <w:rPr>
                <w:sz w:val="20"/>
                <w:lang w:eastAsia="en-AU"/>
              </w:rPr>
            </w:pPr>
            <w:r w:rsidRPr="00E02FAD">
              <w:rPr>
                <w:sz w:val="20"/>
              </w:rPr>
              <w:t>Collaborate and work with other managers to meet the Board's broader objectives.</w:t>
            </w:r>
          </w:p>
        </w:tc>
      </w:tr>
      <w:tr w:rsidR="0002436B" w:rsidRPr="00C978B9" w14:paraId="4199151D" w14:textId="77777777" w:rsidTr="00103875">
        <w:trPr>
          <w:cantSplit/>
        </w:trPr>
        <w:tc>
          <w:tcPr>
            <w:tcW w:w="3601" w:type="dxa"/>
          </w:tcPr>
          <w:p w14:paraId="4C59500F" w14:textId="77777777" w:rsidR="0002436B" w:rsidRPr="00A15CDB" w:rsidRDefault="00596C1A" w:rsidP="00144F5D">
            <w:pPr>
              <w:pStyle w:val="TableText"/>
              <w:jc w:val="both"/>
            </w:pPr>
            <w:r>
              <w:t>Liquor Store Staff</w:t>
            </w:r>
          </w:p>
        </w:tc>
        <w:tc>
          <w:tcPr>
            <w:tcW w:w="6946" w:type="dxa"/>
          </w:tcPr>
          <w:p w14:paraId="19613774" w14:textId="77777777" w:rsidR="00AE44C3" w:rsidRPr="00E02FAD" w:rsidRDefault="00144F5D" w:rsidP="00144F5D">
            <w:pPr>
              <w:pStyle w:val="ListBullet"/>
              <w:jc w:val="both"/>
              <w:rPr>
                <w:sz w:val="20"/>
                <w:lang w:eastAsia="en-AU"/>
              </w:rPr>
            </w:pPr>
            <w:r w:rsidRPr="00E02FAD">
              <w:rPr>
                <w:sz w:val="20"/>
              </w:rPr>
              <w:t>Provide leadership and support to staff in order to maximise their performance and ensure compliance with all Board policies and procedures.</w:t>
            </w:r>
          </w:p>
        </w:tc>
      </w:tr>
    </w:tbl>
    <w:bookmarkEnd w:id="2"/>
    <w:p w14:paraId="28CBC750" w14:textId="77777777" w:rsidR="00C34914" w:rsidRDefault="00C34914" w:rsidP="00144F5D">
      <w:pPr>
        <w:spacing w:before="360"/>
        <w:jc w:val="both"/>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046CEBD5"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CAA105F" w14:textId="77777777" w:rsidR="00C34914" w:rsidRPr="00C978B9" w:rsidRDefault="00C34914" w:rsidP="00144F5D">
            <w:pPr>
              <w:pStyle w:val="TableTextWhite0"/>
              <w:jc w:val="both"/>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342CADB" w14:textId="77777777" w:rsidR="00C34914" w:rsidRPr="00C978B9" w:rsidRDefault="00C34914" w:rsidP="00144F5D">
            <w:pPr>
              <w:pStyle w:val="TableTextWhite0"/>
              <w:jc w:val="both"/>
            </w:pPr>
            <w:r w:rsidRPr="00C978B9">
              <w:t>Why</w:t>
            </w:r>
          </w:p>
        </w:tc>
      </w:tr>
      <w:tr w:rsidR="00C34914" w:rsidRPr="00C978B9" w14:paraId="2C4BD3C1" w14:textId="77777777" w:rsidTr="00103875">
        <w:trPr>
          <w:cantSplit/>
        </w:trPr>
        <w:tc>
          <w:tcPr>
            <w:tcW w:w="3601" w:type="dxa"/>
          </w:tcPr>
          <w:p w14:paraId="61A00DAA" w14:textId="77777777" w:rsidR="00C34914" w:rsidRPr="00DA65BD" w:rsidRDefault="00596C1A" w:rsidP="00144F5D">
            <w:pPr>
              <w:pStyle w:val="TableText"/>
              <w:jc w:val="both"/>
            </w:pPr>
            <w:bookmarkStart w:id="3" w:name="ExternalRelationships"/>
            <w:r>
              <w:t>Customers</w:t>
            </w:r>
          </w:p>
        </w:tc>
        <w:tc>
          <w:tcPr>
            <w:tcW w:w="6946" w:type="dxa"/>
          </w:tcPr>
          <w:p w14:paraId="543910F1" w14:textId="77777777" w:rsidR="00AE44C3" w:rsidRPr="00E02FAD" w:rsidRDefault="00144F5D" w:rsidP="00144F5D">
            <w:pPr>
              <w:pStyle w:val="ListBullet"/>
              <w:jc w:val="both"/>
              <w:rPr>
                <w:sz w:val="20"/>
                <w:lang w:eastAsia="en-AU"/>
              </w:rPr>
            </w:pPr>
            <w:r w:rsidRPr="00E02FAD">
              <w:rPr>
                <w:sz w:val="20"/>
              </w:rPr>
              <w:t>Provide outstanding customer service to both members of the public and business customers.</w:t>
            </w:r>
          </w:p>
        </w:tc>
      </w:tr>
      <w:tr w:rsidR="00C34914" w:rsidRPr="00C978B9" w14:paraId="0F09F22A" w14:textId="77777777" w:rsidTr="00103875">
        <w:trPr>
          <w:cantSplit/>
        </w:trPr>
        <w:tc>
          <w:tcPr>
            <w:tcW w:w="3601" w:type="dxa"/>
          </w:tcPr>
          <w:p w14:paraId="740763A9" w14:textId="77777777" w:rsidR="00C34914" w:rsidRPr="00DA65BD" w:rsidRDefault="00596C1A" w:rsidP="00144F5D">
            <w:pPr>
              <w:pStyle w:val="TableText"/>
              <w:jc w:val="both"/>
            </w:pPr>
            <w:r>
              <w:t>Suppliers</w:t>
            </w:r>
          </w:p>
        </w:tc>
        <w:tc>
          <w:tcPr>
            <w:tcW w:w="6946" w:type="dxa"/>
          </w:tcPr>
          <w:p w14:paraId="5A872E59" w14:textId="704D23E5" w:rsidR="00AE44C3" w:rsidRPr="00E02FAD" w:rsidRDefault="00144F5D" w:rsidP="00144F5D">
            <w:pPr>
              <w:pStyle w:val="ListBullet"/>
              <w:jc w:val="both"/>
              <w:rPr>
                <w:sz w:val="20"/>
                <w:lang w:eastAsia="en-AU"/>
              </w:rPr>
            </w:pPr>
            <w:r w:rsidRPr="00E02FAD">
              <w:rPr>
                <w:sz w:val="20"/>
              </w:rPr>
              <w:t xml:space="preserve">Work closely with suppliers </w:t>
            </w:r>
            <w:r w:rsidR="00CF7ABB" w:rsidRPr="00E02FAD">
              <w:rPr>
                <w:sz w:val="20"/>
              </w:rPr>
              <w:t>to</w:t>
            </w:r>
            <w:r w:rsidRPr="00E02FAD">
              <w:rPr>
                <w:sz w:val="20"/>
              </w:rPr>
              <w:t xml:space="preserve"> reliably source the desired product range at the best price.</w:t>
            </w:r>
          </w:p>
        </w:tc>
      </w:tr>
    </w:tbl>
    <w:bookmarkEnd w:id="3"/>
    <w:p w14:paraId="0B9BE2F8" w14:textId="77777777" w:rsidR="00057CB3" w:rsidRPr="00C978B9" w:rsidRDefault="0002436B" w:rsidP="00144F5D">
      <w:pPr>
        <w:pStyle w:val="Heading2"/>
        <w:jc w:val="both"/>
      </w:pPr>
      <w:r w:rsidRPr="00C978B9">
        <w:t xml:space="preserve">Role </w:t>
      </w:r>
      <w:r w:rsidR="00043B92">
        <w:t>d</w:t>
      </w:r>
      <w:r w:rsidRPr="00C978B9">
        <w:t>imensions</w:t>
      </w:r>
    </w:p>
    <w:p w14:paraId="765EEFEC" w14:textId="77777777" w:rsidR="0002436B" w:rsidRDefault="001D133A" w:rsidP="00144F5D">
      <w:pPr>
        <w:pStyle w:val="Heading3"/>
        <w:jc w:val="both"/>
      </w:pPr>
      <w:r w:rsidRPr="00C978B9">
        <w:t>Decision making</w:t>
      </w:r>
    </w:p>
    <w:p w14:paraId="33273AE7" w14:textId="77777777" w:rsidR="00BD7587" w:rsidRPr="007523A5" w:rsidRDefault="00A55204" w:rsidP="00144F5D">
      <w:pPr>
        <w:jc w:val="both"/>
        <w:rPr>
          <w:rFonts w:cs="Arial"/>
          <w:szCs w:val="22"/>
        </w:rPr>
      </w:pPr>
      <w:bookmarkStart w:id="4" w:name="_Hlk17372642"/>
      <w:r>
        <w:t>The position operates with day-to-day independence in the management of liquor sales and the operation of the Liquor Store within set parameters. This includes pricing, marketing and product lines, making decisions on order quantities, sale price and products on special. These decisions are vital in attaining the budgeted profit targets for the Lord Howe Island Board.  The position is guided by the Liquor Store Business Plan, relevant legislation and Board policies and procedures. A key element for the position is to ensure policies and management guidelines are adhered to while achieving the performance objectives set.</w:t>
      </w:r>
    </w:p>
    <w:bookmarkEnd w:id="4"/>
    <w:p w14:paraId="030B87AA" w14:textId="77777777" w:rsidR="001D133A" w:rsidRDefault="001D133A" w:rsidP="00144F5D">
      <w:pPr>
        <w:pStyle w:val="Heading3"/>
        <w:jc w:val="both"/>
      </w:pPr>
      <w:r w:rsidRPr="00C978B9">
        <w:t>Reporting line</w:t>
      </w:r>
    </w:p>
    <w:p w14:paraId="6C602CC4" w14:textId="77777777" w:rsidR="00E91D2A" w:rsidRDefault="00A55204" w:rsidP="00144F5D">
      <w:pPr>
        <w:jc w:val="both"/>
      </w:pPr>
      <w:r>
        <w:t>Manager Business and Corporate Services</w:t>
      </w:r>
    </w:p>
    <w:p w14:paraId="40A25B42" w14:textId="77777777" w:rsidR="001D133A" w:rsidRDefault="001D133A" w:rsidP="00144F5D">
      <w:pPr>
        <w:pStyle w:val="Heading3"/>
        <w:jc w:val="both"/>
      </w:pPr>
      <w:r w:rsidRPr="00C978B9">
        <w:t>Direct reports</w:t>
      </w:r>
    </w:p>
    <w:p w14:paraId="2F93CDB7" w14:textId="77777777" w:rsidR="001D133A" w:rsidRDefault="00A55204" w:rsidP="00144F5D">
      <w:pPr>
        <w:jc w:val="both"/>
      </w:pPr>
      <w:r>
        <w:t>Liquor Store Assistant LHI Officer Grade 2</w:t>
      </w:r>
    </w:p>
    <w:p w14:paraId="5447BE0B" w14:textId="77777777" w:rsidR="00144F5D" w:rsidRPr="00C978B9" w:rsidRDefault="00144F5D" w:rsidP="00144F5D">
      <w:pPr>
        <w:jc w:val="both"/>
      </w:pPr>
      <w:r>
        <w:t xml:space="preserve">Seasonal Temporary/Casual staff as </w:t>
      </w:r>
      <w:proofErr w:type="gramStart"/>
      <w:r>
        <w:t>required</w:t>
      </w:r>
      <w:proofErr w:type="gramEnd"/>
    </w:p>
    <w:p w14:paraId="5F52A0A8" w14:textId="77777777" w:rsidR="001D133A" w:rsidRDefault="001D133A" w:rsidP="00144F5D">
      <w:pPr>
        <w:pStyle w:val="Heading3"/>
        <w:jc w:val="both"/>
      </w:pPr>
      <w:r w:rsidRPr="00C978B9">
        <w:lastRenderedPageBreak/>
        <w:t>Budget/Expenditure</w:t>
      </w:r>
    </w:p>
    <w:p w14:paraId="7FEA461D" w14:textId="77777777" w:rsidR="005505E4" w:rsidRDefault="00A55204" w:rsidP="00144F5D">
      <w:pPr>
        <w:jc w:val="both"/>
      </w:pPr>
      <w:r>
        <w:t xml:space="preserve">Budgeted expenditure exceeds $1 million per </w:t>
      </w:r>
      <w:proofErr w:type="gramStart"/>
      <w:r>
        <w:t>annum</w:t>
      </w:r>
      <w:proofErr w:type="gramEnd"/>
    </w:p>
    <w:p w14:paraId="5990B4C1" w14:textId="77777777" w:rsidR="001D133A" w:rsidRDefault="001D133A" w:rsidP="00144F5D">
      <w:pPr>
        <w:pStyle w:val="Heading2"/>
        <w:jc w:val="both"/>
      </w:pPr>
      <w:r w:rsidRPr="00C978B9">
        <w:t>Essential requir</w:t>
      </w:r>
      <w:r w:rsidR="00E31CD3" w:rsidRPr="00C978B9">
        <w:t>e</w:t>
      </w:r>
      <w:r w:rsidRPr="00C978B9">
        <w:t>ments</w:t>
      </w:r>
    </w:p>
    <w:p w14:paraId="1F733173" w14:textId="77777777" w:rsidR="00AE44C3" w:rsidRDefault="00144F5D" w:rsidP="00144F5D">
      <w:pPr>
        <w:pStyle w:val="ListBullet"/>
        <w:jc w:val="both"/>
        <w:rPr>
          <w:lang w:eastAsia="en-AU"/>
        </w:rPr>
      </w:pPr>
      <w:r>
        <w:t>Responsible Service of Alcohol certification.</w:t>
      </w:r>
    </w:p>
    <w:p w14:paraId="213CBA62" w14:textId="42CDA250" w:rsidR="00AE44C3" w:rsidRDefault="00144F5D" w:rsidP="00144F5D">
      <w:pPr>
        <w:pStyle w:val="ListBullet"/>
        <w:jc w:val="both"/>
        <w:rPr>
          <w:lang w:eastAsia="en-AU"/>
        </w:rPr>
      </w:pPr>
      <w:r>
        <w:t>A Class C Driver</w:t>
      </w:r>
      <w:r w:rsidR="00E02FAD">
        <w:t>’s</w:t>
      </w:r>
      <w:r>
        <w:t xml:space="preserve"> Licen</w:t>
      </w:r>
      <w:r w:rsidR="00E02FAD">
        <w:t>s</w:t>
      </w:r>
      <w:r>
        <w:t>e.</w:t>
      </w:r>
    </w:p>
    <w:p w14:paraId="38F71346" w14:textId="314AC14A" w:rsidR="00CF7ABB" w:rsidRDefault="00CF7ABB" w:rsidP="00144F5D">
      <w:pPr>
        <w:pStyle w:val="ListBullet"/>
        <w:jc w:val="both"/>
        <w:rPr>
          <w:lang w:eastAsia="en-AU"/>
        </w:rPr>
      </w:pPr>
      <w:r>
        <w:t xml:space="preserve">Experience in Liquor Store Management </w:t>
      </w:r>
    </w:p>
    <w:p w14:paraId="31C6FE85" w14:textId="77777777" w:rsidR="009E0B71" w:rsidRPr="00C978B9" w:rsidRDefault="009E0B71" w:rsidP="00144F5D">
      <w:pPr>
        <w:pStyle w:val="Heading2"/>
        <w:jc w:val="both"/>
      </w:pPr>
      <w:bookmarkStart w:id="5" w:name="_Hlk36203683"/>
      <w:bookmarkStart w:id="6" w:name="_Hlk36565316"/>
      <w:bookmarkStart w:id="7" w:name="_Hlk36209343"/>
      <w:bookmarkStart w:id="8" w:name="_Hlk36710441"/>
      <w:r w:rsidRPr="00C978B9">
        <w:t>Capabilities for the role</w:t>
      </w:r>
    </w:p>
    <w:p w14:paraId="3A1F01A5" w14:textId="77777777" w:rsidR="009E0B71" w:rsidRPr="00175AAF" w:rsidRDefault="009E0B71" w:rsidP="00144F5D">
      <w:pPr>
        <w:jc w:val="both"/>
      </w:pPr>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28EDBCD" w14:textId="77777777" w:rsidR="003E0111" w:rsidRPr="003C7A36" w:rsidRDefault="009E0B71" w:rsidP="00144F5D">
      <w:pPr>
        <w:jc w:val="both"/>
      </w:pPr>
      <w:r w:rsidRPr="003E0111">
        <w:t xml:space="preserve">The capabilities are separated into focus capabilities and complementary </w:t>
      </w:r>
      <w:proofErr w:type="gramStart"/>
      <w:r w:rsidRPr="003E0111">
        <w:t>capabilities</w:t>
      </w:r>
      <w:proofErr w:type="gramEnd"/>
    </w:p>
    <w:p w14:paraId="4D931E8A" w14:textId="77777777" w:rsidR="009E0B71" w:rsidRPr="00C978B9" w:rsidRDefault="009E0B71" w:rsidP="00144F5D">
      <w:pPr>
        <w:pStyle w:val="Heading2"/>
        <w:jc w:val="both"/>
      </w:pPr>
      <w:r w:rsidRPr="00C978B9">
        <w:t xml:space="preserve">Focus </w:t>
      </w:r>
      <w:proofErr w:type="gramStart"/>
      <w:r>
        <w:t>c</w:t>
      </w:r>
      <w:r w:rsidRPr="00C978B9">
        <w:t>apabilities</w:t>
      </w:r>
      <w:proofErr w:type="gramEnd"/>
      <w:r w:rsidR="00AC56D6">
        <w:tab/>
      </w:r>
    </w:p>
    <w:p w14:paraId="20077086" w14:textId="77777777" w:rsidR="009E0B71" w:rsidRDefault="009E0B71" w:rsidP="00144F5D">
      <w:pPr>
        <w:pStyle w:val="PlainText"/>
        <w:spacing w:before="62" w:line="276" w:lineRule="auto"/>
        <w:jc w:val="both"/>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87476BB" w14:textId="77777777" w:rsidR="008D6E7A" w:rsidRDefault="009E0B71" w:rsidP="00144F5D">
      <w:pPr>
        <w:pStyle w:val="PlainText"/>
        <w:spacing w:before="62" w:line="276" w:lineRule="auto"/>
        <w:jc w:val="both"/>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6FBCAAA" w14:textId="77777777" w:rsidR="00C34914" w:rsidRDefault="00C34914" w:rsidP="00C34914">
      <w:pPr>
        <w:pStyle w:val="Heading2"/>
      </w:pPr>
      <w:r w:rsidRPr="00C978B9">
        <w:t xml:space="preserve">Focus </w:t>
      </w:r>
      <w:proofErr w:type="gramStart"/>
      <w:r>
        <w:t>c</w:t>
      </w:r>
      <w:r w:rsidRPr="00C978B9">
        <w:t>apabilities</w:t>
      </w:r>
      <w:proofErr w:type="gramEnd"/>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1B110138"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049A905D"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38A0E088"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0ED28359"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3D059AD0" w14:textId="77777777" w:rsidR="00372FE9" w:rsidRPr="00372FE9" w:rsidRDefault="00372FE9" w:rsidP="00372FE9">
            <w:pPr>
              <w:rPr>
                <w:b/>
                <w:bCs/>
                <w:sz w:val="20"/>
              </w:rPr>
            </w:pPr>
            <w:r w:rsidRPr="00372FE9">
              <w:rPr>
                <w:b/>
                <w:bCs/>
                <w:sz w:val="20"/>
              </w:rPr>
              <w:t>Level</w:t>
            </w:r>
          </w:p>
        </w:tc>
      </w:tr>
      <w:tr w:rsidR="006F0836" w:rsidRPr="003C7A36" w14:paraId="26DE14E4" w14:textId="77777777" w:rsidTr="004C659E">
        <w:trPr>
          <w:cantSplit/>
        </w:trPr>
        <w:tc>
          <w:tcPr>
            <w:tcW w:w="1385" w:type="dxa"/>
          </w:tcPr>
          <w:p w14:paraId="76688B2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0B61BF1" wp14:editId="555AAEB6">
                  <wp:extent cx="749300" cy="749300"/>
                  <wp:effectExtent l="0" t="0" r="0" b="0"/>
                  <wp:docPr id="28"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3AF076D" w14:textId="77777777" w:rsidR="00667FCB" w:rsidRDefault="006F0836" w:rsidP="004A1A64">
            <w:pPr>
              <w:rPr>
                <w:rFonts w:cs="Arial"/>
                <w:color w:val="000000"/>
                <w:sz w:val="20"/>
              </w:rPr>
            </w:pPr>
            <w:r w:rsidRPr="003C7A36">
              <w:rPr>
                <w:rFonts w:cs="Arial"/>
                <w:b/>
                <w:bCs/>
                <w:color w:val="000000"/>
                <w:sz w:val="20"/>
              </w:rPr>
              <w:t>Manage Self</w:t>
            </w:r>
          </w:p>
          <w:p w14:paraId="0CBC932D"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3966F020" w14:textId="77777777" w:rsidR="006F0836" w:rsidRPr="003C7A36" w:rsidRDefault="006F0836" w:rsidP="00A55204">
            <w:pPr>
              <w:pStyle w:val="TableBullet"/>
            </w:pPr>
            <w:r w:rsidRPr="003C7A36">
              <w:t xml:space="preserve">Adapt existing skills to new </w:t>
            </w:r>
            <w:proofErr w:type="gramStart"/>
            <w:r w:rsidRPr="003C7A36">
              <w:t>situations</w:t>
            </w:r>
            <w:proofErr w:type="gramEnd"/>
          </w:p>
          <w:p w14:paraId="3D16E01B" w14:textId="77777777" w:rsidR="006F0836" w:rsidRPr="003C7A36" w:rsidRDefault="006F0836" w:rsidP="00A55204">
            <w:pPr>
              <w:pStyle w:val="TableBullet"/>
            </w:pPr>
            <w:r w:rsidRPr="003C7A36">
              <w:t xml:space="preserve">Show commitment to achieving work </w:t>
            </w:r>
            <w:proofErr w:type="gramStart"/>
            <w:r w:rsidRPr="003C7A36">
              <w:t>goals</w:t>
            </w:r>
            <w:proofErr w:type="gramEnd"/>
          </w:p>
          <w:p w14:paraId="31A0358A" w14:textId="77777777" w:rsidR="006F0836" w:rsidRPr="003C7A36" w:rsidRDefault="006F0836" w:rsidP="00A55204">
            <w:pPr>
              <w:pStyle w:val="TableBullet"/>
            </w:pPr>
            <w:r w:rsidRPr="003C7A36">
              <w:t xml:space="preserve">Show awareness of own strengths and areas for growth, and develop and apply new </w:t>
            </w:r>
            <w:proofErr w:type="gramStart"/>
            <w:r w:rsidRPr="003C7A36">
              <w:t>skills</w:t>
            </w:r>
            <w:proofErr w:type="gramEnd"/>
          </w:p>
          <w:p w14:paraId="6A32BEC8" w14:textId="77777777" w:rsidR="006F0836" w:rsidRPr="003C7A36" w:rsidRDefault="006F0836" w:rsidP="00A55204">
            <w:pPr>
              <w:pStyle w:val="TableBullet"/>
            </w:pPr>
            <w:r w:rsidRPr="003C7A36">
              <w:t xml:space="preserve">Seek feedback from colleagues and </w:t>
            </w:r>
            <w:proofErr w:type="gramStart"/>
            <w:r w:rsidRPr="003C7A36">
              <w:t>stakeholders</w:t>
            </w:r>
            <w:proofErr w:type="gramEnd"/>
          </w:p>
          <w:p w14:paraId="37CDDBB8" w14:textId="77777777" w:rsidR="006F0836" w:rsidRPr="003C7A36" w:rsidRDefault="006F0836" w:rsidP="00A55204">
            <w:pPr>
              <w:pStyle w:val="TableBullet"/>
            </w:pPr>
            <w:r w:rsidRPr="003C7A36">
              <w:t>Stay motivated when tasks become difficult</w:t>
            </w:r>
          </w:p>
        </w:tc>
        <w:tc>
          <w:tcPr>
            <w:tcW w:w="1668" w:type="dxa"/>
          </w:tcPr>
          <w:p w14:paraId="6F72EC3F" w14:textId="77777777" w:rsidR="006F0836" w:rsidRPr="006F0836" w:rsidRDefault="004C659E" w:rsidP="00544127">
            <w:pPr>
              <w:pStyle w:val="TableText"/>
            </w:pPr>
            <w:r w:rsidRPr="004C659E">
              <w:t>Intermediate</w:t>
            </w:r>
          </w:p>
        </w:tc>
      </w:tr>
      <w:tr w:rsidR="006F0836" w:rsidRPr="003C7A36" w14:paraId="43559908" w14:textId="77777777" w:rsidTr="004C659E">
        <w:trPr>
          <w:cantSplit/>
        </w:trPr>
        <w:tc>
          <w:tcPr>
            <w:tcW w:w="1385" w:type="dxa"/>
          </w:tcPr>
          <w:p w14:paraId="30D426C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2ED64DF" wp14:editId="38436FF1">
                  <wp:extent cx="749300" cy="749300"/>
                  <wp:effectExtent l="0" t="0" r="0" b="0"/>
                  <wp:docPr id="838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5E1543F" w14:textId="77777777" w:rsidR="00667FCB" w:rsidRDefault="006F0836" w:rsidP="004A1A64">
            <w:pPr>
              <w:rPr>
                <w:rFonts w:cs="Arial"/>
                <w:color w:val="000000"/>
                <w:sz w:val="20"/>
              </w:rPr>
            </w:pPr>
            <w:r w:rsidRPr="003C7A36">
              <w:rPr>
                <w:rFonts w:cs="Arial"/>
                <w:b/>
                <w:bCs/>
                <w:color w:val="000000"/>
                <w:sz w:val="20"/>
              </w:rPr>
              <w:t>Commit to Customer Service</w:t>
            </w:r>
          </w:p>
          <w:p w14:paraId="4069E38E"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394BA34A" w14:textId="77777777" w:rsidR="006F0836" w:rsidRPr="003C7A36" w:rsidRDefault="006F0836" w:rsidP="00A55204">
            <w:pPr>
              <w:pStyle w:val="TableBullet"/>
            </w:pPr>
            <w:r w:rsidRPr="003C7A36">
              <w:t xml:space="preserve">Take responsibility for delivering high-quality customer-focused </w:t>
            </w:r>
            <w:proofErr w:type="gramStart"/>
            <w:r w:rsidRPr="003C7A36">
              <w:t>services</w:t>
            </w:r>
            <w:proofErr w:type="gramEnd"/>
          </w:p>
          <w:p w14:paraId="25C42C85" w14:textId="77777777" w:rsidR="006F0836" w:rsidRPr="003C7A36" w:rsidRDefault="006F0836" w:rsidP="00A55204">
            <w:pPr>
              <w:pStyle w:val="TableBullet"/>
            </w:pPr>
            <w:r w:rsidRPr="003C7A36">
              <w:t xml:space="preserve">Design processes and policies based on the customer’s point of view and </w:t>
            </w:r>
            <w:proofErr w:type="gramStart"/>
            <w:r w:rsidRPr="003C7A36">
              <w:t>needs</w:t>
            </w:r>
            <w:proofErr w:type="gramEnd"/>
          </w:p>
          <w:p w14:paraId="71ECAD99" w14:textId="77777777" w:rsidR="006F0836" w:rsidRPr="003C7A36" w:rsidRDefault="006F0836" w:rsidP="00A55204">
            <w:pPr>
              <w:pStyle w:val="TableBullet"/>
            </w:pPr>
            <w:r w:rsidRPr="003C7A36">
              <w:t xml:space="preserve">Understand and measure what is important to </w:t>
            </w:r>
            <w:proofErr w:type="gramStart"/>
            <w:r w:rsidRPr="003C7A36">
              <w:t>customers</w:t>
            </w:r>
            <w:proofErr w:type="gramEnd"/>
          </w:p>
          <w:p w14:paraId="1FCCCB22" w14:textId="77777777" w:rsidR="006F0836" w:rsidRPr="003C7A36" w:rsidRDefault="006F0836" w:rsidP="00A55204">
            <w:pPr>
              <w:pStyle w:val="TableBullet"/>
            </w:pPr>
            <w:r w:rsidRPr="003C7A36">
              <w:t xml:space="preserve">Use data and information to monitor and improve customer service </w:t>
            </w:r>
            <w:proofErr w:type="gramStart"/>
            <w:r w:rsidRPr="003C7A36">
              <w:t>delivery</w:t>
            </w:r>
            <w:proofErr w:type="gramEnd"/>
          </w:p>
          <w:p w14:paraId="0E999745" w14:textId="77777777" w:rsidR="006F0836" w:rsidRPr="003C7A36" w:rsidRDefault="006F0836" w:rsidP="00A55204">
            <w:pPr>
              <w:pStyle w:val="TableBullet"/>
            </w:pPr>
            <w:r w:rsidRPr="003C7A36">
              <w:t xml:space="preserve">Find opportunities to cooperate with internal and external stakeholders to improve outcomes for </w:t>
            </w:r>
            <w:proofErr w:type="gramStart"/>
            <w:r w:rsidRPr="003C7A36">
              <w:t>customers</w:t>
            </w:r>
            <w:proofErr w:type="gramEnd"/>
          </w:p>
          <w:p w14:paraId="354CE338" w14:textId="77777777" w:rsidR="006F0836" w:rsidRPr="003C7A36" w:rsidRDefault="006F0836" w:rsidP="00A55204">
            <w:pPr>
              <w:pStyle w:val="TableBullet"/>
            </w:pPr>
            <w:r w:rsidRPr="003C7A36">
              <w:t xml:space="preserve">Maintain relationships with key customers in area of </w:t>
            </w:r>
            <w:proofErr w:type="gramStart"/>
            <w:r w:rsidRPr="003C7A36">
              <w:t>expertise</w:t>
            </w:r>
            <w:proofErr w:type="gramEnd"/>
          </w:p>
          <w:p w14:paraId="61B5BB2D" w14:textId="77777777" w:rsidR="006F0836" w:rsidRPr="003C7A36" w:rsidRDefault="006F0836" w:rsidP="00A55204">
            <w:pPr>
              <w:pStyle w:val="TableBullet"/>
            </w:pPr>
            <w:r w:rsidRPr="003C7A36">
              <w:t>Connect and collaborate with relevant customers within the community</w:t>
            </w:r>
          </w:p>
        </w:tc>
        <w:tc>
          <w:tcPr>
            <w:tcW w:w="1668" w:type="dxa"/>
          </w:tcPr>
          <w:p w14:paraId="13DA9367" w14:textId="77777777" w:rsidR="006F0836" w:rsidRPr="006F0836" w:rsidRDefault="004C659E" w:rsidP="00544127">
            <w:pPr>
              <w:pStyle w:val="TableText"/>
            </w:pPr>
            <w:r w:rsidRPr="004C659E">
              <w:t>Adept</w:t>
            </w:r>
          </w:p>
        </w:tc>
      </w:tr>
      <w:tr w:rsidR="006F0836" w:rsidRPr="003C7A36" w14:paraId="1FE52AE6" w14:textId="77777777" w:rsidTr="004C659E">
        <w:trPr>
          <w:cantSplit/>
        </w:trPr>
        <w:tc>
          <w:tcPr>
            <w:tcW w:w="1385" w:type="dxa"/>
          </w:tcPr>
          <w:p w14:paraId="45DC8DBD"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E2A3B7C" wp14:editId="0538A9BD">
                  <wp:extent cx="749300" cy="749300"/>
                  <wp:effectExtent l="0" t="0" r="0" b="0"/>
                  <wp:docPr id="197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9367097" w14:textId="77777777" w:rsidR="00667FCB" w:rsidRDefault="006F0836" w:rsidP="004A1A64">
            <w:pPr>
              <w:rPr>
                <w:rFonts w:cs="Arial"/>
                <w:color w:val="000000"/>
                <w:sz w:val="20"/>
              </w:rPr>
            </w:pPr>
            <w:r w:rsidRPr="003C7A36">
              <w:rPr>
                <w:rFonts w:cs="Arial"/>
                <w:b/>
                <w:bCs/>
                <w:color w:val="000000"/>
                <w:sz w:val="20"/>
              </w:rPr>
              <w:t>Deliver Results</w:t>
            </w:r>
          </w:p>
          <w:p w14:paraId="788A1E07"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65AEF631" w14:textId="77777777" w:rsidR="006F0836" w:rsidRPr="003C7A36" w:rsidRDefault="006F0836" w:rsidP="00A55204">
            <w:pPr>
              <w:pStyle w:val="TableBullet"/>
            </w:pPr>
            <w:r w:rsidRPr="003C7A36">
              <w:t xml:space="preserve">Use own and others’ expertise to achieve outcomes, and take responsibility for delivering intended </w:t>
            </w:r>
            <w:proofErr w:type="gramStart"/>
            <w:r w:rsidRPr="003C7A36">
              <w:t>outcomes</w:t>
            </w:r>
            <w:proofErr w:type="gramEnd"/>
          </w:p>
          <w:p w14:paraId="04279530" w14:textId="77777777" w:rsidR="006F0836" w:rsidRPr="003C7A36" w:rsidRDefault="006F0836" w:rsidP="00A55204">
            <w:pPr>
              <w:pStyle w:val="TableBullet"/>
            </w:pPr>
            <w:r w:rsidRPr="003C7A36">
              <w:t xml:space="preserve">Make sure staff understand expected goals and acknowledge staff success in achieving </w:t>
            </w:r>
            <w:proofErr w:type="gramStart"/>
            <w:r w:rsidRPr="003C7A36">
              <w:t>these</w:t>
            </w:r>
            <w:proofErr w:type="gramEnd"/>
          </w:p>
          <w:p w14:paraId="7D930EAD" w14:textId="77777777" w:rsidR="006F0836" w:rsidRPr="003C7A36" w:rsidRDefault="006F0836" w:rsidP="00A55204">
            <w:pPr>
              <w:pStyle w:val="TableBullet"/>
            </w:pPr>
            <w:r w:rsidRPr="003C7A36">
              <w:t xml:space="preserve">Identify resource needs and ensure goals are achieved within set budgets and </w:t>
            </w:r>
            <w:proofErr w:type="gramStart"/>
            <w:r w:rsidRPr="003C7A36">
              <w:t>deadlines</w:t>
            </w:r>
            <w:proofErr w:type="gramEnd"/>
          </w:p>
          <w:p w14:paraId="0DA7048D" w14:textId="77777777" w:rsidR="006F0836" w:rsidRPr="003C7A36" w:rsidRDefault="006F0836" w:rsidP="00A55204">
            <w:pPr>
              <w:pStyle w:val="TableBullet"/>
            </w:pPr>
            <w:r w:rsidRPr="003C7A36">
              <w:t xml:space="preserve">Use business data to evaluate outcomes and inform continuous </w:t>
            </w:r>
            <w:proofErr w:type="gramStart"/>
            <w:r w:rsidRPr="003C7A36">
              <w:t>improvement</w:t>
            </w:r>
            <w:proofErr w:type="gramEnd"/>
          </w:p>
          <w:p w14:paraId="5B6658E2" w14:textId="77777777" w:rsidR="006F0836" w:rsidRPr="003C7A36" w:rsidRDefault="006F0836" w:rsidP="00A55204">
            <w:pPr>
              <w:pStyle w:val="TableBullet"/>
            </w:pPr>
            <w:r w:rsidRPr="003C7A36">
              <w:t xml:space="preserve">Identify priorities that need to change and ensure the allocation of resources meets new business </w:t>
            </w:r>
            <w:proofErr w:type="gramStart"/>
            <w:r w:rsidRPr="003C7A36">
              <w:t>needs</w:t>
            </w:r>
            <w:proofErr w:type="gramEnd"/>
          </w:p>
          <w:p w14:paraId="006CB0C5"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64C620CC" w14:textId="77777777" w:rsidR="006F0836" w:rsidRPr="006F0836" w:rsidRDefault="004C659E" w:rsidP="00544127">
            <w:pPr>
              <w:pStyle w:val="TableText"/>
            </w:pPr>
            <w:r w:rsidRPr="004C659E">
              <w:t>Adept</w:t>
            </w:r>
          </w:p>
        </w:tc>
      </w:tr>
      <w:tr w:rsidR="006F0836" w:rsidRPr="003C7A36" w14:paraId="5568A6C7" w14:textId="77777777" w:rsidTr="004C659E">
        <w:trPr>
          <w:cantSplit/>
        </w:trPr>
        <w:tc>
          <w:tcPr>
            <w:tcW w:w="1385" w:type="dxa"/>
          </w:tcPr>
          <w:p w14:paraId="35AB710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9D47925" wp14:editId="17387735">
                  <wp:extent cx="749300" cy="749300"/>
                  <wp:effectExtent l="0" t="0" r="0" b="0"/>
                  <wp:docPr id="5562"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D1AF6BA" w14:textId="77777777" w:rsidR="00667FCB" w:rsidRDefault="006F0836" w:rsidP="004A1A64">
            <w:pPr>
              <w:rPr>
                <w:rFonts w:cs="Arial"/>
                <w:color w:val="000000"/>
                <w:sz w:val="20"/>
              </w:rPr>
            </w:pPr>
            <w:r w:rsidRPr="003C7A36">
              <w:rPr>
                <w:rFonts w:cs="Arial"/>
                <w:b/>
                <w:bCs/>
                <w:color w:val="000000"/>
                <w:sz w:val="20"/>
              </w:rPr>
              <w:t>Finance</w:t>
            </w:r>
          </w:p>
          <w:p w14:paraId="5E77FC5C" w14:textId="77777777" w:rsidR="006F0836" w:rsidRPr="00667FCB" w:rsidRDefault="006F0836" w:rsidP="004A1A64">
            <w:pPr>
              <w:rPr>
                <w:rFonts w:cs="Arial"/>
                <w:color w:val="000000"/>
                <w:sz w:val="20"/>
              </w:rPr>
            </w:pPr>
            <w:r w:rsidRPr="003C7A36">
              <w:rPr>
                <w:rFonts w:cs="Arial"/>
                <w:color w:val="000000"/>
                <w:sz w:val="20"/>
              </w:rPr>
              <w:t>Understand and apply financial processes to achieve value for money and minimise financial risk</w:t>
            </w:r>
          </w:p>
        </w:tc>
        <w:tc>
          <w:tcPr>
            <w:tcW w:w="4709" w:type="dxa"/>
          </w:tcPr>
          <w:p w14:paraId="3C193781" w14:textId="77777777" w:rsidR="006F0836" w:rsidRPr="003C7A36" w:rsidRDefault="006F0836" w:rsidP="00A55204">
            <w:pPr>
              <w:pStyle w:val="TableBullet"/>
            </w:pPr>
            <w:r w:rsidRPr="003C7A36">
              <w:t xml:space="preserve">Understand core financial terminology, policies and processes, and display knowledge of relevant recurrent and capital financial </w:t>
            </w:r>
            <w:proofErr w:type="gramStart"/>
            <w:r w:rsidRPr="003C7A36">
              <w:t>measures</w:t>
            </w:r>
            <w:proofErr w:type="gramEnd"/>
          </w:p>
          <w:p w14:paraId="2E7320CA" w14:textId="77777777" w:rsidR="006F0836" w:rsidRPr="003C7A36" w:rsidRDefault="006F0836" w:rsidP="00A55204">
            <w:pPr>
              <w:pStyle w:val="TableBullet"/>
            </w:pPr>
            <w:r w:rsidRPr="003C7A36">
              <w:t xml:space="preserve">Understand the impacts of funding allocations on business planning and </w:t>
            </w:r>
            <w:proofErr w:type="gramStart"/>
            <w:r w:rsidRPr="003C7A36">
              <w:t>budgets</w:t>
            </w:r>
            <w:proofErr w:type="gramEnd"/>
          </w:p>
          <w:p w14:paraId="11BD9F75" w14:textId="77777777" w:rsidR="006F0836" w:rsidRPr="003C7A36" w:rsidRDefault="006F0836" w:rsidP="00A55204">
            <w:pPr>
              <w:pStyle w:val="TableBullet"/>
            </w:pPr>
            <w:r w:rsidRPr="003C7A36">
              <w:t xml:space="preserve">Identify discrepancies or variances in financial and budget reports, and take corrective </w:t>
            </w:r>
            <w:proofErr w:type="gramStart"/>
            <w:r w:rsidRPr="003C7A36">
              <w:t>action</w:t>
            </w:r>
            <w:proofErr w:type="gramEnd"/>
          </w:p>
          <w:p w14:paraId="329AF637" w14:textId="77777777" w:rsidR="006F0836" w:rsidRPr="003C7A36" w:rsidRDefault="006F0836" w:rsidP="00A55204">
            <w:pPr>
              <w:pStyle w:val="TableBullet"/>
            </w:pPr>
            <w:r w:rsidRPr="003C7A36">
              <w:t xml:space="preserve">Know when to seek specialist advice and support and establish the relevant </w:t>
            </w:r>
            <w:proofErr w:type="gramStart"/>
            <w:r w:rsidRPr="003C7A36">
              <w:t>relationships</w:t>
            </w:r>
            <w:proofErr w:type="gramEnd"/>
          </w:p>
          <w:p w14:paraId="7DE463FC" w14:textId="77777777" w:rsidR="006F0836" w:rsidRPr="003C7A36" w:rsidRDefault="006F0836" w:rsidP="00A55204">
            <w:pPr>
              <w:pStyle w:val="TableBullet"/>
            </w:pPr>
            <w:r w:rsidRPr="003C7A36">
              <w:t>Make decisions and prepare business cases, paying due regard to financial considerations</w:t>
            </w:r>
          </w:p>
        </w:tc>
        <w:tc>
          <w:tcPr>
            <w:tcW w:w="1668" w:type="dxa"/>
          </w:tcPr>
          <w:p w14:paraId="3DDCA9BE" w14:textId="77777777" w:rsidR="006F0836" w:rsidRPr="006F0836" w:rsidRDefault="004C659E" w:rsidP="00544127">
            <w:pPr>
              <w:pStyle w:val="TableText"/>
            </w:pPr>
            <w:r w:rsidRPr="004C659E">
              <w:t>Adept</w:t>
            </w:r>
          </w:p>
        </w:tc>
      </w:tr>
      <w:tr w:rsidR="006F0836" w:rsidRPr="003C7A36" w14:paraId="0AE6865D" w14:textId="77777777" w:rsidTr="004C659E">
        <w:trPr>
          <w:cantSplit/>
        </w:trPr>
        <w:tc>
          <w:tcPr>
            <w:tcW w:w="1385" w:type="dxa"/>
          </w:tcPr>
          <w:p w14:paraId="2AD3087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C41DBE8" wp14:editId="359E4134">
                  <wp:extent cx="749300" cy="749300"/>
                  <wp:effectExtent l="0" t="0" r="0" b="0"/>
                  <wp:docPr id="3928"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CF7C352" w14:textId="77777777" w:rsidR="00667FCB" w:rsidRDefault="006F0836" w:rsidP="004A1A64">
            <w:pPr>
              <w:rPr>
                <w:rFonts w:cs="Arial"/>
                <w:color w:val="000000"/>
                <w:sz w:val="20"/>
              </w:rPr>
            </w:pPr>
            <w:r w:rsidRPr="003C7A36">
              <w:rPr>
                <w:rFonts w:cs="Arial"/>
                <w:b/>
                <w:bCs/>
                <w:color w:val="000000"/>
                <w:sz w:val="20"/>
              </w:rPr>
              <w:t>Optimise Business Outcomes</w:t>
            </w:r>
          </w:p>
          <w:p w14:paraId="480D0CB0" w14:textId="77777777" w:rsidR="006F0836" w:rsidRPr="00667FCB" w:rsidRDefault="006F0836" w:rsidP="004A1A64">
            <w:pPr>
              <w:rPr>
                <w:rFonts w:cs="Arial"/>
                <w:color w:val="000000"/>
                <w:sz w:val="20"/>
              </w:rPr>
            </w:pPr>
            <w:r w:rsidRPr="003C7A36">
              <w:rPr>
                <w:rFonts w:cs="Arial"/>
                <w:color w:val="000000"/>
                <w:sz w:val="20"/>
              </w:rPr>
              <w:t>Manage people and resources effectively to achieve public value</w:t>
            </w:r>
          </w:p>
        </w:tc>
        <w:tc>
          <w:tcPr>
            <w:tcW w:w="4709" w:type="dxa"/>
          </w:tcPr>
          <w:p w14:paraId="37AC84FE" w14:textId="77777777" w:rsidR="006F0836" w:rsidRPr="003C7A36" w:rsidRDefault="006F0836" w:rsidP="00A55204">
            <w:pPr>
              <w:pStyle w:val="TableBullet"/>
            </w:pPr>
            <w:r w:rsidRPr="003C7A36">
              <w:t xml:space="preserve">Develop team and unit plans that consider team capabilities and </w:t>
            </w:r>
            <w:proofErr w:type="gramStart"/>
            <w:r w:rsidRPr="003C7A36">
              <w:t>strengths</w:t>
            </w:r>
            <w:proofErr w:type="gramEnd"/>
          </w:p>
          <w:p w14:paraId="7076E1EE" w14:textId="77777777" w:rsidR="006F0836" w:rsidRPr="003C7A36" w:rsidRDefault="006F0836" w:rsidP="00A55204">
            <w:pPr>
              <w:pStyle w:val="TableBullet"/>
            </w:pPr>
            <w:r w:rsidRPr="003C7A36">
              <w:t xml:space="preserve">Plan and monitor resource allocation effectively to achieve team and unit </w:t>
            </w:r>
            <w:proofErr w:type="gramStart"/>
            <w:r w:rsidRPr="003C7A36">
              <w:t>objectives</w:t>
            </w:r>
            <w:proofErr w:type="gramEnd"/>
          </w:p>
          <w:p w14:paraId="1BC6699D" w14:textId="77777777" w:rsidR="006F0836" w:rsidRPr="003C7A36" w:rsidRDefault="006F0836" w:rsidP="00A55204">
            <w:pPr>
              <w:pStyle w:val="TableBullet"/>
            </w:pPr>
            <w:r w:rsidRPr="003C7A36">
              <w:t xml:space="preserve">When planning resources, consider the attraction and retention of people of diverse cultures, backgrounds and </w:t>
            </w:r>
            <w:proofErr w:type="gramStart"/>
            <w:r w:rsidRPr="003C7A36">
              <w:t>experiences</w:t>
            </w:r>
            <w:proofErr w:type="gramEnd"/>
          </w:p>
          <w:p w14:paraId="25CE7325" w14:textId="77777777" w:rsidR="006F0836" w:rsidRPr="003C7A36" w:rsidRDefault="006F0836" w:rsidP="00A55204">
            <w:pPr>
              <w:pStyle w:val="TableBullet"/>
            </w:pPr>
            <w:r w:rsidRPr="003C7A36">
              <w:t xml:space="preserve">Ensure that team members work with a good understanding of business principles as they apply to the public sector </w:t>
            </w:r>
            <w:proofErr w:type="gramStart"/>
            <w:r w:rsidRPr="003C7A36">
              <w:t>context</w:t>
            </w:r>
            <w:proofErr w:type="gramEnd"/>
          </w:p>
          <w:p w14:paraId="7C241460" w14:textId="77777777" w:rsidR="006F0836" w:rsidRPr="003C7A36" w:rsidRDefault="006F0836" w:rsidP="00A55204">
            <w:pPr>
              <w:pStyle w:val="TableBullet"/>
            </w:pPr>
            <w:r w:rsidRPr="003C7A36">
              <w:t>Participate in wider organisational workforce planning to ensure that capable resources are available</w:t>
            </w:r>
          </w:p>
        </w:tc>
        <w:tc>
          <w:tcPr>
            <w:tcW w:w="1668" w:type="dxa"/>
          </w:tcPr>
          <w:p w14:paraId="0F2EA116" w14:textId="77777777" w:rsidR="006F0836" w:rsidRPr="006F0836" w:rsidRDefault="004C659E" w:rsidP="00544127">
            <w:pPr>
              <w:pStyle w:val="TableText"/>
            </w:pPr>
            <w:r w:rsidRPr="004C659E">
              <w:t>Intermediate</w:t>
            </w:r>
          </w:p>
        </w:tc>
      </w:tr>
    </w:tbl>
    <w:p w14:paraId="48BD4832" w14:textId="77777777" w:rsidR="00A7563F" w:rsidRDefault="00A7563F"/>
    <w:p w14:paraId="208778AA" w14:textId="77777777" w:rsidR="00372FE9" w:rsidRDefault="00372FE9" w:rsidP="00372FE9"/>
    <w:p w14:paraId="082CC4B6" w14:textId="77777777" w:rsidR="009E0B71" w:rsidRDefault="009E0B71" w:rsidP="000C453F">
      <w:pPr>
        <w:pStyle w:val="Heading2"/>
      </w:pPr>
      <w:r>
        <w:t>Complementary capabilities</w:t>
      </w:r>
    </w:p>
    <w:p w14:paraId="38834160"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E6FCFC0"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281C45A"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03EF2694"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756951A" w14:textId="77777777" w:rsidR="00372FE9" w:rsidRPr="00372FE9" w:rsidRDefault="00372FE9" w:rsidP="00372FE9">
            <w:pPr>
              <w:rPr>
                <w:sz w:val="20"/>
              </w:rPr>
            </w:pPr>
            <w:r w:rsidRPr="00372FE9">
              <w:rPr>
                <w:b/>
                <w:sz w:val="20"/>
              </w:rPr>
              <w:lastRenderedPageBreak/>
              <w:t>Capability group/sets</w:t>
            </w:r>
          </w:p>
        </w:tc>
        <w:tc>
          <w:tcPr>
            <w:tcW w:w="2693" w:type="dxa"/>
            <w:shd w:val="clear" w:color="auto" w:fill="BFBFBF" w:themeFill="background1" w:themeFillShade="BF"/>
          </w:tcPr>
          <w:p w14:paraId="1FA2C935"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430DCA06"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030C24DF" w14:textId="77777777" w:rsidR="00372FE9" w:rsidRPr="00372FE9" w:rsidRDefault="00372FE9" w:rsidP="00372FE9">
            <w:pPr>
              <w:rPr>
                <w:b/>
                <w:bCs/>
                <w:sz w:val="20"/>
              </w:rPr>
            </w:pPr>
            <w:r w:rsidRPr="00372FE9">
              <w:rPr>
                <w:b/>
                <w:bCs/>
                <w:sz w:val="20"/>
              </w:rPr>
              <w:t>Level</w:t>
            </w:r>
          </w:p>
        </w:tc>
      </w:tr>
      <w:tr w:rsidR="00372FE9" w:rsidRPr="00372FE9" w14:paraId="656EF0CF" w14:textId="77777777" w:rsidTr="004C659E">
        <w:trPr>
          <w:cantSplit/>
        </w:trPr>
        <w:tc>
          <w:tcPr>
            <w:tcW w:w="1276" w:type="dxa"/>
          </w:tcPr>
          <w:p w14:paraId="08A7ABA7" w14:textId="77777777" w:rsidR="00372FE9" w:rsidRPr="00372FE9" w:rsidRDefault="00372FE9" w:rsidP="00372FE9">
            <w:pPr>
              <w:rPr>
                <w:sz w:val="20"/>
              </w:rPr>
            </w:pPr>
            <w:r w:rsidRPr="00372FE9">
              <w:rPr>
                <w:noProof/>
                <w:sz w:val="20"/>
                <w:lang w:eastAsia="en-AU"/>
              </w:rPr>
              <w:drawing>
                <wp:inline distT="0" distB="0" distL="0" distR="0" wp14:anchorId="13382D5A" wp14:editId="6D3097C8">
                  <wp:extent cx="416966" cy="416966"/>
                  <wp:effectExtent l="0" t="0" r="2540" b="2540"/>
                  <wp:docPr id="751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70CC66" w14:textId="77777777" w:rsidR="00372FE9" w:rsidRPr="00372FE9" w:rsidRDefault="00372FE9" w:rsidP="00544127">
            <w:pPr>
              <w:pStyle w:val="TableText"/>
            </w:pPr>
            <w:r w:rsidRPr="00372FE9">
              <w:t>Display Resilience and Courage</w:t>
            </w:r>
          </w:p>
        </w:tc>
        <w:tc>
          <w:tcPr>
            <w:tcW w:w="4851" w:type="dxa"/>
          </w:tcPr>
          <w:p w14:paraId="395E2C1E"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6CCF3D48" w14:textId="77777777" w:rsidR="00372FE9" w:rsidRPr="00372FE9" w:rsidRDefault="004C659E" w:rsidP="00544127">
            <w:pPr>
              <w:pStyle w:val="TableText"/>
            </w:pPr>
            <w:r w:rsidRPr="004C659E">
              <w:t>Foundational</w:t>
            </w:r>
          </w:p>
        </w:tc>
      </w:tr>
      <w:tr w:rsidR="00372FE9" w:rsidRPr="00372FE9" w14:paraId="6D5EC5B9" w14:textId="77777777" w:rsidTr="004C659E">
        <w:trPr>
          <w:cantSplit/>
        </w:trPr>
        <w:tc>
          <w:tcPr>
            <w:tcW w:w="1276" w:type="dxa"/>
          </w:tcPr>
          <w:p w14:paraId="6C192690" w14:textId="77777777" w:rsidR="00372FE9" w:rsidRPr="00372FE9" w:rsidRDefault="00372FE9" w:rsidP="00372FE9">
            <w:pPr>
              <w:rPr>
                <w:sz w:val="20"/>
              </w:rPr>
            </w:pPr>
            <w:r w:rsidRPr="00372FE9">
              <w:rPr>
                <w:noProof/>
                <w:sz w:val="20"/>
                <w:lang w:eastAsia="en-AU"/>
              </w:rPr>
              <w:drawing>
                <wp:inline distT="0" distB="0" distL="0" distR="0" wp14:anchorId="7C3BB56F" wp14:editId="19AC652D">
                  <wp:extent cx="416966" cy="416966"/>
                  <wp:effectExtent l="0" t="0" r="2540" b="2540"/>
                  <wp:docPr id="587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E95BB3" w14:textId="77777777" w:rsidR="00372FE9" w:rsidRPr="00372FE9" w:rsidRDefault="00372FE9" w:rsidP="00544127">
            <w:pPr>
              <w:pStyle w:val="TableText"/>
            </w:pPr>
            <w:r w:rsidRPr="00372FE9">
              <w:t>Act with Integrity</w:t>
            </w:r>
          </w:p>
        </w:tc>
        <w:tc>
          <w:tcPr>
            <w:tcW w:w="4851" w:type="dxa"/>
          </w:tcPr>
          <w:p w14:paraId="626F9F64" w14:textId="77777777" w:rsidR="00372FE9" w:rsidRPr="00372FE9" w:rsidRDefault="00372FE9" w:rsidP="00544127">
            <w:pPr>
              <w:pStyle w:val="TableText"/>
            </w:pPr>
            <w:r w:rsidRPr="00372FE9">
              <w:t>Be ethical and professional, and uphold and promote the public sector values</w:t>
            </w:r>
          </w:p>
        </w:tc>
        <w:tc>
          <w:tcPr>
            <w:tcW w:w="1668" w:type="dxa"/>
          </w:tcPr>
          <w:p w14:paraId="6F42B676" w14:textId="77777777" w:rsidR="00372FE9" w:rsidRPr="00372FE9" w:rsidRDefault="004C659E" w:rsidP="00544127">
            <w:pPr>
              <w:pStyle w:val="TableText"/>
            </w:pPr>
            <w:r w:rsidRPr="004C659E">
              <w:t>Intermediate</w:t>
            </w:r>
          </w:p>
        </w:tc>
      </w:tr>
      <w:tr w:rsidR="00372FE9" w:rsidRPr="00372FE9" w14:paraId="03BC916A" w14:textId="77777777" w:rsidTr="004C659E">
        <w:trPr>
          <w:cantSplit/>
        </w:trPr>
        <w:tc>
          <w:tcPr>
            <w:tcW w:w="1276" w:type="dxa"/>
          </w:tcPr>
          <w:p w14:paraId="67D449F5" w14:textId="77777777" w:rsidR="00372FE9" w:rsidRPr="00372FE9" w:rsidRDefault="00372FE9" w:rsidP="00372FE9">
            <w:pPr>
              <w:rPr>
                <w:sz w:val="20"/>
              </w:rPr>
            </w:pPr>
            <w:r w:rsidRPr="00372FE9">
              <w:rPr>
                <w:noProof/>
                <w:sz w:val="20"/>
                <w:lang w:eastAsia="en-AU"/>
              </w:rPr>
              <w:drawing>
                <wp:inline distT="0" distB="0" distL="0" distR="0" wp14:anchorId="05B240F3" wp14:editId="22725656">
                  <wp:extent cx="416966" cy="416966"/>
                  <wp:effectExtent l="0" t="0" r="2540" b="2540"/>
                  <wp:docPr id="946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2630AB" w14:textId="77777777" w:rsidR="00372FE9" w:rsidRPr="00372FE9" w:rsidRDefault="00372FE9" w:rsidP="00544127">
            <w:pPr>
              <w:pStyle w:val="TableText"/>
            </w:pPr>
            <w:r w:rsidRPr="00372FE9">
              <w:t>Value Diversity and Inclusion</w:t>
            </w:r>
          </w:p>
        </w:tc>
        <w:tc>
          <w:tcPr>
            <w:tcW w:w="4851" w:type="dxa"/>
          </w:tcPr>
          <w:p w14:paraId="1225E2D8"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527C4053" w14:textId="77777777" w:rsidR="00372FE9" w:rsidRPr="00372FE9" w:rsidRDefault="004C659E" w:rsidP="00544127">
            <w:pPr>
              <w:pStyle w:val="TableText"/>
            </w:pPr>
            <w:r w:rsidRPr="004C659E">
              <w:t>Foundational</w:t>
            </w:r>
          </w:p>
        </w:tc>
      </w:tr>
      <w:tr w:rsidR="00372FE9" w:rsidRPr="00372FE9" w14:paraId="106E1CE5" w14:textId="77777777" w:rsidTr="004C659E">
        <w:trPr>
          <w:cantSplit/>
        </w:trPr>
        <w:tc>
          <w:tcPr>
            <w:tcW w:w="1276" w:type="dxa"/>
          </w:tcPr>
          <w:p w14:paraId="74233A24" w14:textId="77777777" w:rsidR="00372FE9" w:rsidRPr="00372FE9" w:rsidRDefault="00372FE9" w:rsidP="00372FE9">
            <w:pPr>
              <w:rPr>
                <w:sz w:val="20"/>
              </w:rPr>
            </w:pPr>
            <w:r w:rsidRPr="00372FE9">
              <w:rPr>
                <w:noProof/>
                <w:sz w:val="20"/>
                <w:lang w:eastAsia="en-AU"/>
              </w:rPr>
              <w:drawing>
                <wp:inline distT="0" distB="0" distL="0" distR="0" wp14:anchorId="1766F397" wp14:editId="639BB33B">
                  <wp:extent cx="416966" cy="416966"/>
                  <wp:effectExtent l="0" t="0" r="2540" b="2540"/>
                  <wp:docPr id="305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7A5E7C" w14:textId="77777777" w:rsidR="00372FE9" w:rsidRPr="00372FE9" w:rsidRDefault="00372FE9" w:rsidP="00544127">
            <w:pPr>
              <w:pStyle w:val="TableText"/>
            </w:pPr>
            <w:r w:rsidRPr="00372FE9">
              <w:t>Communicate Effectively</w:t>
            </w:r>
          </w:p>
        </w:tc>
        <w:tc>
          <w:tcPr>
            <w:tcW w:w="4851" w:type="dxa"/>
          </w:tcPr>
          <w:p w14:paraId="1F8761A3"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27B97299" w14:textId="77777777" w:rsidR="00372FE9" w:rsidRPr="00372FE9" w:rsidRDefault="004C659E" w:rsidP="00544127">
            <w:pPr>
              <w:pStyle w:val="TableText"/>
            </w:pPr>
            <w:r w:rsidRPr="004C659E">
              <w:t>Intermediate</w:t>
            </w:r>
          </w:p>
        </w:tc>
      </w:tr>
      <w:tr w:rsidR="00372FE9" w:rsidRPr="00372FE9" w14:paraId="73E5D384" w14:textId="77777777" w:rsidTr="004C659E">
        <w:trPr>
          <w:cantSplit/>
        </w:trPr>
        <w:tc>
          <w:tcPr>
            <w:tcW w:w="1276" w:type="dxa"/>
          </w:tcPr>
          <w:p w14:paraId="6B573157" w14:textId="77777777" w:rsidR="00372FE9" w:rsidRPr="00372FE9" w:rsidRDefault="00372FE9" w:rsidP="00372FE9">
            <w:pPr>
              <w:rPr>
                <w:sz w:val="20"/>
              </w:rPr>
            </w:pPr>
            <w:r w:rsidRPr="00372FE9">
              <w:rPr>
                <w:noProof/>
                <w:sz w:val="20"/>
                <w:lang w:eastAsia="en-AU"/>
              </w:rPr>
              <w:drawing>
                <wp:inline distT="0" distB="0" distL="0" distR="0" wp14:anchorId="6737D44B" wp14:editId="63D836BB">
                  <wp:extent cx="416966" cy="416966"/>
                  <wp:effectExtent l="0" t="0" r="2540" b="2540"/>
                  <wp:docPr id="142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0CC0A2" w14:textId="77777777" w:rsidR="00372FE9" w:rsidRPr="00372FE9" w:rsidRDefault="00372FE9" w:rsidP="00544127">
            <w:pPr>
              <w:pStyle w:val="TableText"/>
            </w:pPr>
            <w:r w:rsidRPr="00372FE9">
              <w:t>Work Collaboratively</w:t>
            </w:r>
          </w:p>
        </w:tc>
        <w:tc>
          <w:tcPr>
            <w:tcW w:w="4851" w:type="dxa"/>
          </w:tcPr>
          <w:p w14:paraId="0346BB3B" w14:textId="77777777" w:rsidR="00372FE9" w:rsidRPr="00372FE9" w:rsidRDefault="00372FE9" w:rsidP="00544127">
            <w:pPr>
              <w:pStyle w:val="TableText"/>
            </w:pPr>
            <w:r w:rsidRPr="00372FE9">
              <w:t>Collaborate with others and value their contribution</w:t>
            </w:r>
          </w:p>
        </w:tc>
        <w:tc>
          <w:tcPr>
            <w:tcW w:w="1668" w:type="dxa"/>
          </w:tcPr>
          <w:p w14:paraId="4B8978A3" w14:textId="0CC52DB6" w:rsidR="00372FE9" w:rsidRPr="00372FE9" w:rsidRDefault="00E02FAD" w:rsidP="00544127">
            <w:pPr>
              <w:pStyle w:val="TableText"/>
            </w:pPr>
            <w:r>
              <w:t>Intermediate</w:t>
            </w:r>
          </w:p>
        </w:tc>
      </w:tr>
      <w:tr w:rsidR="00372FE9" w:rsidRPr="00372FE9" w14:paraId="0B2813F0" w14:textId="77777777" w:rsidTr="004C659E">
        <w:trPr>
          <w:cantSplit/>
        </w:trPr>
        <w:tc>
          <w:tcPr>
            <w:tcW w:w="1276" w:type="dxa"/>
          </w:tcPr>
          <w:p w14:paraId="52F058AD" w14:textId="77777777" w:rsidR="00372FE9" w:rsidRPr="00372FE9" w:rsidRDefault="00372FE9" w:rsidP="00372FE9">
            <w:pPr>
              <w:rPr>
                <w:sz w:val="20"/>
              </w:rPr>
            </w:pPr>
            <w:r w:rsidRPr="00372FE9">
              <w:rPr>
                <w:noProof/>
                <w:sz w:val="20"/>
                <w:lang w:eastAsia="en-AU"/>
              </w:rPr>
              <w:drawing>
                <wp:inline distT="0" distB="0" distL="0" distR="0" wp14:anchorId="78B89CF1" wp14:editId="5D69B0CD">
                  <wp:extent cx="416966" cy="416966"/>
                  <wp:effectExtent l="0" t="0" r="2540" b="2540"/>
                  <wp:docPr id="500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86CA13"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730323F3" w14:textId="77777777" w:rsidR="00372FE9" w:rsidRPr="00372FE9" w:rsidRDefault="00372FE9" w:rsidP="00544127">
            <w:pPr>
              <w:pStyle w:val="TableText"/>
            </w:pPr>
            <w:r w:rsidRPr="00372FE9">
              <w:t>Gain consensus and commitment from others, and resolve issues and conflicts</w:t>
            </w:r>
          </w:p>
        </w:tc>
        <w:tc>
          <w:tcPr>
            <w:tcW w:w="1668" w:type="dxa"/>
          </w:tcPr>
          <w:p w14:paraId="5A871471" w14:textId="77777777" w:rsidR="00372FE9" w:rsidRPr="00372FE9" w:rsidRDefault="004C659E" w:rsidP="00544127">
            <w:pPr>
              <w:pStyle w:val="TableText"/>
            </w:pPr>
            <w:r w:rsidRPr="004C659E">
              <w:t>Foundational</w:t>
            </w:r>
          </w:p>
        </w:tc>
      </w:tr>
      <w:tr w:rsidR="00372FE9" w:rsidRPr="00372FE9" w14:paraId="576BE549" w14:textId="77777777" w:rsidTr="004C659E">
        <w:trPr>
          <w:cantSplit/>
        </w:trPr>
        <w:tc>
          <w:tcPr>
            <w:tcW w:w="1276" w:type="dxa"/>
          </w:tcPr>
          <w:p w14:paraId="1B918C59" w14:textId="77777777" w:rsidR="00372FE9" w:rsidRPr="00372FE9" w:rsidRDefault="00372FE9" w:rsidP="00372FE9">
            <w:pPr>
              <w:rPr>
                <w:sz w:val="20"/>
              </w:rPr>
            </w:pPr>
            <w:r w:rsidRPr="00372FE9">
              <w:rPr>
                <w:noProof/>
                <w:sz w:val="20"/>
                <w:lang w:eastAsia="en-AU"/>
              </w:rPr>
              <w:drawing>
                <wp:inline distT="0" distB="0" distL="0" distR="0" wp14:anchorId="3AB08E00" wp14:editId="22447490">
                  <wp:extent cx="416966" cy="416966"/>
                  <wp:effectExtent l="0" t="0" r="2540" b="2540"/>
                  <wp:docPr id="859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9C1E19D"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5DF90F1D"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36C5A586" w14:textId="4DFEF397" w:rsidR="00372FE9" w:rsidRPr="00372FE9" w:rsidRDefault="00E02FAD" w:rsidP="00544127">
            <w:pPr>
              <w:pStyle w:val="TableText"/>
            </w:pPr>
            <w:r>
              <w:t>Intermediate</w:t>
            </w:r>
          </w:p>
        </w:tc>
      </w:tr>
      <w:tr w:rsidR="00372FE9" w:rsidRPr="00372FE9" w14:paraId="7C87AEED" w14:textId="77777777" w:rsidTr="004C659E">
        <w:trPr>
          <w:cantSplit/>
        </w:trPr>
        <w:tc>
          <w:tcPr>
            <w:tcW w:w="1276" w:type="dxa"/>
          </w:tcPr>
          <w:p w14:paraId="61481907" w14:textId="77777777" w:rsidR="00372FE9" w:rsidRPr="00372FE9" w:rsidRDefault="00372FE9" w:rsidP="00372FE9">
            <w:pPr>
              <w:rPr>
                <w:sz w:val="20"/>
              </w:rPr>
            </w:pPr>
            <w:r w:rsidRPr="00372FE9">
              <w:rPr>
                <w:noProof/>
                <w:sz w:val="20"/>
                <w:lang w:eastAsia="en-AU"/>
              </w:rPr>
              <w:drawing>
                <wp:inline distT="0" distB="0" distL="0" distR="0" wp14:anchorId="373874A1" wp14:editId="0BDF26CC">
                  <wp:extent cx="416966" cy="416966"/>
                  <wp:effectExtent l="0" t="0" r="2540" b="2540"/>
                  <wp:docPr id="695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5F516E2" w14:textId="77777777" w:rsidR="00372FE9" w:rsidRPr="00372FE9" w:rsidRDefault="00372FE9" w:rsidP="00544127">
            <w:pPr>
              <w:pStyle w:val="TableText"/>
            </w:pPr>
            <w:r w:rsidRPr="00372FE9">
              <w:t>Think and Solve Problems</w:t>
            </w:r>
          </w:p>
        </w:tc>
        <w:tc>
          <w:tcPr>
            <w:tcW w:w="4851" w:type="dxa"/>
          </w:tcPr>
          <w:p w14:paraId="467BA0D0"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0FD514B2" w14:textId="2B604830" w:rsidR="00372FE9" w:rsidRPr="00372FE9" w:rsidRDefault="00E02FAD" w:rsidP="00544127">
            <w:pPr>
              <w:pStyle w:val="TableText"/>
            </w:pPr>
            <w:r>
              <w:t>Intermediate</w:t>
            </w:r>
          </w:p>
        </w:tc>
      </w:tr>
      <w:tr w:rsidR="00372FE9" w:rsidRPr="00372FE9" w14:paraId="2658E707" w14:textId="77777777" w:rsidTr="004C659E">
        <w:trPr>
          <w:cantSplit/>
        </w:trPr>
        <w:tc>
          <w:tcPr>
            <w:tcW w:w="1276" w:type="dxa"/>
          </w:tcPr>
          <w:p w14:paraId="7C4EB820" w14:textId="77777777" w:rsidR="00372FE9" w:rsidRPr="00372FE9" w:rsidRDefault="00372FE9" w:rsidP="00372FE9">
            <w:pPr>
              <w:rPr>
                <w:sz w:val="20"/>
              </w:rPr>
            </w:pPr>
            <w:r w:rsidRPr="00372FE9">
              <w:rPr>
                <w:noProof/>
                <w:sz w:val="20"/>
                <w:lang w:eastAsia="en-AU"/>
              </w:rPr>
              <w:drawing>
                <wp:inline distT="0" distB="0" distL="0" distR="0" wp14:anchorId="0AE01F94" wp14:editId="53281E79">
                  <wp:extent cx="416966" cy="416966"/>
                  <wp:effectExtent l="0" t="0" r="2540" b="2540"/>
                  <wp:docPr id="55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2FA918B" w14:textId="77777777" w:rsidR="00372FE9" w:rsidRPr="00372FE9" w:rsidRDefault="00372FE9" w:rsidP="00544127">
            <w:pPr>
              <w:pStyle w:val="TableText"/>
            </w:pPr>
            <w:r w:rsidRPr="00372FE9">
              <w:t>Demonstrate Accountability</w:t>
            </w:r>
          </w:p>
        </w:tc>
        <w:tc>
          <w:tcPr>
            <w:tcW w:w="4851" w:type="dxa"/>
          </w:tcPr>
          <w:p w14:paraId="11AE6D52"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6BA4A4F3" w14:textId="77777777" w:rsidR="00372FE9" w:rsidRPr="00372FE9" w:rsidRDefault="004C659E" w:rsidP="00544127">
            <w:pPr>
              <w:pStyle w:val="TableText"/>
            </w:pPr>
            <w:r w:rsidRPr="004C659E">
              <w:t>Foundational</w:t>
            </w:r>
          </w:p>
        </w:tc>
      </w:tr>
      <w:tr w:rsidR="00372FE9" w:rsidRPr="00372FE9" w14:paraId="7375C1E5" w14:textId="77777777" w:rsidTr="004C659E">
        <w:trPr>
          <w:cantSplit/>
        </w:trPr>
        <w:tc>
          <w:tcPr>
            <w:tcW w:w="1276" w:type="dxa"/>
          </w:tcPr>
          <w:p w14:paraId="3BA3CEFC" w14:textId="77777777" w:rsidR="00372FE9" w:rsidRPr="00372FE9" w:rsidRDefault="00372FE9" w:rsidP="00372FE9">
            <w:pPr>
              <w:rPr>
                <w:sz w:val="20"/>
              </w:rPr>
            </w:pPr>
            <w:r w:rsidRPr="00372FE9">
              <w:rPr>
                <w:noProof/>
                <w:sz w:val="20"/>
                <w:lang w:eastAsia="en-AU"/>
              </w:rPr>
              <w:drawing>
                <wp:inline distT="0" distB="0" distL="0" distR="0" wp14:anchorId="4525DA27" wp14:editId="582EEDF9">
                  <wp:extent cx="416966" cy="416966"/>
                  <wp:effectExtent l="0" t="0" r="2540" b="2540"/>
                  <wp:docPr id="890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48726A" w14:textId="77777777" w:rsidR="00372FE9" w:rsidRPr="00372FE9" w:rsidRDefault="00372FE9" w:rsidP="00544127">
            <w:pPr>
              <w:pStyle w:val="TableText"/>
            </w:pPr>
            <w:r w:rsidRPr="00372FE9">
              <w:t>Technology</w:t>
            </w:r>
          </w:p>
        </w:tc>
        <w:tc>
          <w:tcPr>
            <w:tcW w:w="4851" w:type="dxa"/>
          </w:tcPr>
          <w:p w14:paraId="745A1051"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3E30DC07" w14:textId="77777777" w:rsidR="00372FE9" w:rsidRPr="00372FE9" w:rsidRDefault="004C659E" w:rsidP="00544127">
            <w:pPr>
              <w:pStyle w:val="TableText"/>
            </w:pPr>
            <w:r w:rsidRPr="004C659E">
              <w:t>Intermediate</w:t>
            </w:r>
          </w:p>
        </w:tc>
      </w:tr>
      <w:tr w:rsidR="00372FE9" w:rsidRPr="00372FE9" w14:paraId="7742D2B7" w14:textId="77777777" w:rsidTr="004C659E">
        <w:trPr>
          <w:cantSplit/>
        </w:trPr>
        <w:tc>
          <w:tcPr>
            <w:tcW w:w="1276" w:type="dxa"/>
          </w:tcPr>
          <w:p w14:paraId="079C67BB" w14:textId="77777777" w:rsidR="00372FE9" w:rsidRPr="00372FE9" w:rsidRDefault="00372FE9" w:rsidP="00372FE9">
            <w:pPr>
              <w:rPr>
                <w:sz w:val="20"/>
              </w:rPr>
            </w:pPr>
            <w:r w:rsidRPr="00372FE9">
              <w:rPr>
                <w:noProof/>
                <w:sz w:val="20"/>
                <w:lang w:eastAsia="en-AU"/>
              </w:rPr>
              <w:drawing>
                <wp:inline distT="0" distB="0" distL="0" distR="0" wp14:anchorId="1B6C4133" wp14:editId="230E0FE8">
                  <wp:extent cx="416966" cy="416966"/>
                  <wp:effectExtent l="0" t="0" r="2540" b="2540"/>
                  <wp:docPr id="250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441607" w14:textId="77777777" w:rsidR="00372FE9" w:rsidRPr="00372FE9" w:rsidRDefault="00372FE9" w:rsidP="00544127">
            <w:pPr>
              <w:pStyle w:val="TableText"/>
            </w:pPr>
            <w:r w:rsidRPr="00372FE9">
              <w:t>Procurement and Contract Management</w:t>
            </w:r>
          </w:p>
        </w:tc>
        <w:tc>
          <w:tcPr>
            <w:tcW w:w="4851" w:type="dxa"/>
          </w:tcPr>
          <w:p w14:paraId="4D0DBAA5"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22BE3D4F" w14:textId="77777777" w:rsidR="00372FE9" w:rsidRPr="00372FE9" w:rsidRDefault="004C659E" w:rsidP="00544127">
            <w:pPr>
              <w:pStyle w:val="TableText"/>
            </w:pPr>
            <w:r w:rsidRPr="004C659E">
              <w:t>Foundational</w:t>
            </w:r>
          </w:p>
        </w:tc>
      </w:tr>
      <w:tr w:rsidR="00372FE9" w:rsidRPr="00372FE9" w14:paraId="0ABF398F" w14:textId="77777777" w:rsidTr="004C659E">
        <w:trPr>
          <w:cantSplit/>
        </w:trPr>
        <w:tc>
          <w:tcPr>
            <w:tcW w:w="1276" w:type="dxa"/>
          </w:tcPr>
          <w:p w14:paraId="599AC092" w14:textId="77777777" w:rsidR="00372FE9" w:rsidRPr="00372FE9" w:rsidRDefault="00372FE9" w:rsidP="00372FE9">
            <w:pPr>
              <w:rPr>
                <w:sz w:val="20"/>
              </w:rPr>
            </w:pPr>
            <w:r w:rsidRPr="00372FE9">
              <w:rPr>
                <w:noProof/>
                <w:sz w:val="20"/>
                <w:lang w:eastAsia="en-AU"/>
              </w:rPr>
              <w:drawing>
                <wp:inline distT="0" distB="0" distL="0" distR="0" wp14:anchorId="6D84EA9B" wp14:editId="1F292669">
                  <wp:extent cx="416966" cy="416966"/>
                  <wp:effectExtent l="0" t="0" r="2540" b="2540"/>
                  <wp:docPr id="608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0DA9841" w14:textId="77777777" w:rsidR="00372FE9" w:rsidRPr="00372FE9" w:rsidRDefault="00372FE9" w:rsidP="00544127">
            <w:pPr>
              <w:pStyle w:val="TableText"/>
            </w:pPr>
            <w:r w:rsidRPr="00372FE9">
              <w:t>Project Management</w:t>
            </w:r>
          </w:p>
        </w:tc>
        <w:tc>
          <w:tcPr>
            <w:tcW w:w="4851" w:type="dxa"/>
          </w:tcPr>
          <w:p w14:paraId="7D0FA8B6" w14:textId="77777777" w:rsidR="00372FE9" w:rsidRPr="00372FE9" w:rsidRDefault="00372FE9" w:rsidP="00544127">
            <w:pPr>
              <w:pStyle w:val="TableText"/>
            </w:pPr>
            <w:r w:rsidRPr="00372FE9">
              <w:t>Understand and apply effective planning, coordination and control methods</w:t>
            </w:r>
          </w:p>
        </w:tc>
        <w:tc>
          <w:tcPr>
            <w:tcW w:w="1668" w:type="dxa"/>
          </w:tcPr>
          <w:p w14:paraId="5CC849AC" w14:textId="77777777" w:rsidR="00372FE9" w:rsidRPr="00372FE9" w:rsidRDefault="004C659E" w:rsidP="00544127">
            <w:pPr>
              <w:pStyle w:val="TableText"/>
            </w:pPr>
            <w:r w:rsidRPr="004C659E">
              <w:t>Foundational</w:t>
            </w:r>
          </w:p>
        </w:tc>
      </w:tr>
      <w:tr w:rsidR="00372FE9" w:rsidRPr="00372FE9" w14:paraId="7CFF0795" w14:textId="77777777" w:rsidTr="004C659E">
        <w:trPr>
          <w:cantSplit/>
        </w:trPr>
        <w:tc>
          <w:tcPr>
            <w:tcW w:w="1276" w:type="dxa"/>
          </w:tcPr>
          <w:p w14:paraId="650FCFE7" w14:textId="77777777" w:rsidR="00372FE9" w:rsidRPr="00372FE9" w:rsidRDefault="00372FE9" w:rsidP="00372FE9">
            <w:pPr>
              <w:rPr>
                <w:sz w:val="20"/>
              </w:rPr>
            </w:pPr>
            <w:r w:rsidRPr="00372FE9">
              <w:rPr>
                <w:noProof/>
                <w:sz w:val="20"/>
                <w:lang w:eastAsia="en-AU"/>
              </w:rPr>
              <w:drawing>
                <wp:inline distT="0" distB="0" distL="0" distR="0" wp14:anchorId="08B3456B" wp14:editId="607AC0FB">
                  <wp:extent cx="416966" cy="416966"/>
                  <wp:effectExtent l="0" t="0" r="2540" b="2540"/>
                  <wp:docPr id="445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AA7D086" w14:textId="77777777" w:rsidR="00372FE9" w:rsidRPr="00372FE9" w:rsidRDefault="00372FE9" w:rsidP="00544127">
            <w:pPr>
              <w:pStyle w:val="TableText"/>
            </w:pPr>
            <w:r w:rsidRPr="00372FE9">
              <w:t>Manage and Develop People</w:t>
            </w:r>
          </w:p>
        </w:tc>
        <w:tc>
          <w:tcPr>
            <w:tcW w:w="4851" w:type="dxa"/>
          </w:tcPr>
          <w:p w14:paraId="02F764F9" w14:textId="77777777" w:rsidR="00372FE9" w:rsidRPr="00372FE9" w:rsidRDefault="00372FE9" w:rsidP="00544127">
            <w:pPr>
              <w:pStyle w:val="TableText"/>
            </w:pPr>
            <w:r w:rsidRPr="00372FE9">
              <w:t>Engage and motivate staff, and develop capability and potential in others</w:t>
            </w:r>
          </w:p>
        </w:tc>
        <w:tc>
          <w:tcPr>
            <w:tcW w:w="1668" w:type="dxa"/>
          </w:tcPr>
          <w:p w14:paraId="67E95216" w14:textId="247CAAE2" w:rsidR="00372FE9" w:rsidRPr="00372FE9" w:rsidRDefault="00E02FAD" w:rsidP="00544127">
            <w:pPr>
              <w:pStyle w:val="TableText"/>
            </w:pPr>
            <w:r>
              <w:t>Intermediate</w:t>
            </w:r>
          </w:p>
        </w:tc>
      </w:tr>
      <w:tr w:rsidR="00372FE9" w:rsidRPr="00372FE9" w14:paraId="0562294E" w14:textId="77777777" w:rsidTr="004C659E">
        <w:trPr>
          <w:cantSplit/>
        </w:trPr>
        <w:tc>
          <w:tcPr>
            <w:tcW w:w="1276" w:type="dxa"/>
          </w:tcPr>
          <w:p w14:paraId="5ED2DE0E" w14:textId="77777777" w:rsidR="00372FE9" w:rsidRPr="00372FE9" w:rsidRDefault="00372FE9" w:rsidP="00372FE9">
            <w:pPr>
              <w:rPr>
                <w:sz w:val="20"/>
              </w:rPr>
            </w:pPr>
            <w:r w:rsidRPr="00372FE9">
              <w:rPr>
                <w:noProof/>
                <w:sz w:val="20"/>
                <w:lang w:eastAsia="en-AU"/>
              </w:rPr>
              <w:drawing>
                <wp:inline distT="0" distB="0" distL="0" distR="0" wp14:anchorId="604A5657" wp14:editId="1EDF3CCC">
                  <wp:extent cx="416966" cy="416966"/>
                  <wp:effectExtent l="0" t="0" r="2540" b="2540"/>
                  <wp:docPr id="8035"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A9DB3E6" w14:textId="77777777" w:rsidR="00372FE9" w:rsidRPr="00372FE9" w:rsidRDefault="00372FE9" w:rsidP="00544127">
            <w:pPr>
              <w:pStyle w:val="TableText"/>
            </w:pPr>
            <w:r w:rsidRPr="00372FE9">
              <w:t>Inspire Direction and Purpose</w:t>
            </w:r>
          </w:p>
        </w:tc>
        <w:tc>
          <w:tcPr>
            <w:tcW w:w="4851" w:type="dxa"/>
          </w:tcPr>
          <w:p w14:paraId="6F0B5F36" w14:textId="77777777" w:rsidR="00372FE9" w:rsidRPr="00372FE9" w:rsidRDefault="00372FE9" w:rsidP="00544127">
            <w:pPr>
              <w:pStyle w:val="TableText"/>
            </w:pPr>
            <w:r w:rsidRPr="00372FE9">
              <w:t>Communicate goals, priorities and vision, and recognise achievements</w:t>
            </w:r>
          </w:p>
        </w:tc>
        <w:tc>
          <w:tcPr>
            <w:tcW w:w="1668" w:type="dxa"/>
          </w:tcPr>
          <w:p w14:paraId="22508099" w14:textId="77777777" w:rsidR="00372FE9" w:rsidRPr="00372FE9" w:rsidRDefault="004C659E" w:rsidP="00544127">
            <w:pPr>
              <w:pStyle w:val="TableText"/>
            </w:pPr>
            <w:r w:rsidRPr="004C659E">
              <w:t>Foundational</w:t>
            </w:r>
          </w:p>
        </w:tc>
      </w:tr>
      <w:tr w:rsidR="00372FE9" w:rsidRPr="00372FE9" w14:paraId="4C9E53AD" w14:textId="77777777" w:rsidTr="004C659E">
        <w:trPr>
          <w:cantSplit/>
        </w:trPr>
        <w:tc>
          <w:tcPr>
            <w:tcW w:w="1276" w:type="dxa"/>
          </w:tcPr>
          <w:p w14:paraId="21D73FE6" w14:textId="77777777" w:rsidR="00372FE9" w:rsidRPr="00372FE9" w:rsidRDefault="00372FE9" w:rsidP="00372FE9">
            <w:pPr>
              <w:rPr>
                <w:sz w:val="20"/>
              </w:rPr>
            </w:pPr>
            <w:r w:rsidRPr="00372FE9">
              <w:rPr>
                <w:noProof/>
                <w:sz w:val="20"/>
                <w:lang w:eastAsia="en-AU"/>
              </w:rPr>
              <w:drawing>
                <wp:inline distT="0" distB="0" distL="0" distR="0" wp14:anchorId="752C14E1" wp14:editId="3729F379">
                  <wp:extent cx="416966" cy="416966"/>
                  <wp:effectExtent l="0" t="0" r="2540" b="2540"/>
                  <wp:docPr id="162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9BB149F" w14:textId="77777777" w:rsidR="00372FE9" w:rsidRPr="00372FE9" w:rsidRDefault="00372FE9" w:rsidP="00544127">
            <w:pPr>
              <w:pStyle w:val="TableText"/>
            </w:pPr>
            <w:r w:rsidRPr="00372FE9">
              <w:t>Manage Reform and Change</w:t>
            </w:r>
          </w:p>
        </w:tc>
        <w:tc>
          <w:tcPr>
            <w:tcW w:w="4851" w:type="dxa"/>
          </w:tcPr>
          <w:p w14:paraId="79130F32" w14:textId="77777777" w:rsidR="00372FE9" w:rsidRPr="00372FE9" w:rsidRDefault="00372FE9" w:rsidP="00544127">
            <w:pPr>
              <w:pStyle w:val="TableText"/>
            </w:pPr>
            <w:r w:rsidRPr="00372FE9">
              <w:t>Support, promote and champion change, and assist others to engage with change</w:t>
            </w:r>
          </w:p>
        </w:tc>
        <w:tc>
          <w:tcPr>
            <w:tcW w:w="1668" w:type="dxa"/>
          </w:tcPr>
          <w:p w14:paraId="6B3ADF88" w14:textId="77777777" w:rsidR="00372FE9" w:rsidRPr="00372FE9" w:rsidRDefault="004C659E" w:rsidP="00544127">
            <w:pPr>
              <w:pStyle w:val="TableText"/>
            </w:pPr>
            <w:r w:rsidRPr="004C659E">
              <w:t>Foundational</w:t>
            </w:r>
          </w:p>
        </w:tc>
      </w:tr>
      <w:bookmarkEnd w:id="5"/>
      <w:bookmarkEnd w:id="6"/>
      <w:bookmarkEnd w:id="7"/>
      <w:bookmarkEnd w:id="8"/>
    </w:tbl>
    <w:p w14:paraId="70FCE3A5" w14:textId="77777777" w:rsidR="009E0B71" w:rsidRDefault="009E0B71" w:rsidP="001203EE">
      <w:pPr>
        <w:contextualSpacing/>
      </w:pPr>
    </w:p>
    <w:sectPr w:rsidR="009E0B71" w:rsidSect="00115AF2">
      <w:footerReference w:type="default" r:id="rId15"/>
      <w:footerReference w:type="first" r:id="rId16"/>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5750A" w14:textId="77777777" w:rsidR="003A612B" w:rsidRDefault="003A612B" w:rsidP="00AC273D">
      <w:pPr>
        <w:spacing w:after="0"/>
      </w:pPr>
      <w:r>
        <w:separator/>
      </w:r>
    </w:p>
  </w:endnote>
  <w:endnote w:type="continuationSeparator" w:id="0">
    <w:p w14:paraId="662A5870" w14:textId="77777777" w:rsidR="003A612B" w:rsidRDefault="003A612B"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FB3A"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Liquor Store Manager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00144F5D">
      <w:rPr>
        <w:noProof/>
        <w:color w:val="auto"/>
        <w:lang w:eastAsia="en-AU"/>
      </w:rPr>
      <w:t>2</w:t>
    </w:r>
    <w:r w:rsidRPr="008D6E7A">
      <w:rPr>
        <w:noProof/>
        <w:color w:val="auto"/>
        <w:lang w:eastAsia="en-AU"/>
      </w:rPr>
      <w:fldChar w:fldCharType="end"/>
    </w:r>
    <w:r>
      <w:rPr>
        <w:noProof/>
        <w:lang w:eastAsia="en-AU"/>
      </w:rPr>
      <w:tab/>
    </w:r>
    <w:r>
      <w:rPr>
        <w:noProof/>
        <w:lang w:eastAsia="en-AU"/>
      </w:rPr>
      <w:tab/>
    </w:r>
    <w:r w:rsidR="009A6687">
      <w:rPr>
        <w:noProof/>
        <w:lang w:eastAsia="en-AU"/>
      </w:rPr>
      <w:drawing>
        <wp:inline distT="0" distB="0" distL="0" distR="0" wp14:anchorId="481C6D2B" wp14:editId="0594D9F9">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2F26B2F1" w14:textId="77777777" w:rsidR="00A90F97" w:rsidRPr="001E2B26" w:rsidRDefault="00A90F97" w:rsidP="00051237">
    <w:pPr>
      <w:pStyle w:val="Footer"/>
      <w:rPr>
        <w:sz w:val="12"/>
        <w:szCs w:val="12"/>
      </w:rPr>
    </w:pPr>
  </w:p>
  <w:p w14:paraId="7AAB9D57"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C24A"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54F0979A"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lang w:eastAsia="en-AU"/>
      </w:rPr>
      <w:drawing>
        <wp:inline distT="0" distB="0" distL="0" distR="0" wp14:anchorId="3A7AE6A5" wp14:editId="17EF22D5">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CF4DF90"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2BB44" w14:textId="77777777" w:rsidR="003A612B" w:rsidRDefault="003A612B" w:rsidP="00AC273D">
      <w:pPr>
        <w:spacing w:after="0"/>
      </w:pPr>
      <w:r>
        <w:separator/>
      </w:r>
    </w:p>
  </w:footnote>
  <w:footnote w:type="continuationSeparator" w:id="0">
    <w:p w14:paraId="2229778D" w14:textId="77777777" w:rsidR="003A612B" w:rsidRDefault="003A612B"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3077353">
    <w:abstractNumId w:val="9"/>
  </w:num>
  <w:num w:numId="2" w16cid:durableId="1289974816">
    <w:abstractNumId w:val="7"/>
  </w:num>
  <w:num w:numId="3" w16cid:durableId="566690073">
    <w:abstractNumId w:val="6"/>
  </w:num>
  <w:num w:numId="4" w16cid:durableId="790902820">
    <w:abstractNumId w:val="5"/>
  </w:num>
  <w:num w:numId="5" w16cid:durableId="2134977970">
    <w:abstractNumId w:val="4"/>
  </w:num>
  <w:num w:numId="6" w16cid:durableId="1702706060">
    <w:abstractNumId w:val="8"/>
  </w:num>
  <w:num w:numId="7" w16cid:durableId="1605504138">
    <w:abstractNumId w:val="3"/>
  </w:num>
  <w:num w:numId="8" w16cid:durableId="1778329544">
    <w:abstractNumId w:val="2"/>
  </w:num>
  <w:num w:numId="9" w16cid:durableId="835805609">
    <w:abstractNumId w:val="1"/>
  </w:num>
  <w:num w:numId="10" w16cid:durableId="1447188496">
    <w:abstractNumId w:val="0"/>
  </w:num>
  <w:num w:numId="11" w16cid:durableId="1538742272">
    <w:abstractNumId w:val="16"/>
  </w:num>
  <w:num w:numId="12" w16cid:durableId="1082606317">
    <w:abstractNumId w:val="28"/>
  </w:num>
  <w:num w:numId="13" w16cid:durableId="1480224792">
    <w:abstractNumId w:val="28"/>
  </w:num>
  <w:num w:numId="14" w16cid:durableId="746344841">
    <w:abstractNumId w:val="17"/>
  </w:num>
  <w:num w:numId="15" w16cid:durableId="235630497">
    <w:abstractNumId w:val="17"/>
  </w:num>
  <w:num w:numId="16" w16cid:durableId="337193955">
    <w:abstractNumId w:val="17"/>
  </w:num>
  <w:num w:numId="17" w16cid:durableId="1593515640">
    <w:abstractNumId w:val="17"/>
  </w:num>
  <w:num w:numId="18" w16cid:durableId="367412903">
    <w:abstractNumId w:val="17"/>
  </w:num>
  <w:num w:numId="19" w16cid:durableId="432407852">
    <w:abstractNumId w:val="17"/>
  </w:num>
  <w:num w:numId="20" w16cid:durableId="558595687">
    <w:abstractNumId w:val="30"/>
  </w:num>
  <w:num w:numId="21" w16cid:durableId="40829770">
    <w:abstractNumId w:val="25"/>
  </w:num>
  <w:num w:numId="22" w16cid:durableId="255098224">
    <w:abstractNumId w:val="22"/>
  </w:num>
  <w:num w:numId="23" w16cid:durableId="855268897">
    <w:abstractNumId w:val="23"/>
  </w:num>
  <w:num w:numId="24" w16cid:durableId="1521511871">
    <w:abstractNumId w:val="20"/>
  </w:num>
  <w:num w:numId="25" w16cid:durableId="1707869722">
    <w:abstractNumId w:val="32"/>
  </w:num>
  <w:num w:numId="26" w16cid:durableId="2071688052">
    <w:abstractNumId w:val="19"/>
  </w:num>
  <w:num w:numId="27" w16cid:durableId="647511915">
    <w:abstractNumId w:val="9"/>
  </w:num>
  <w:num w:numId="28" w16cid:durableId="1662000069">
    <w:abstractNumId w:val="18"/>
  </w:num>
  <w:num w:numId="29" w16cid:durableId="1220440980">
    <w:abstractNumId w:val="9"/>
  </w:num>
  <w:num w:numId="30" w16cid:durableId="1304579191">
    <w:abstractNumId w:val="9"/>
  </w:num>
  <w:num w:numId="31" w16cid:durableId="1486773130">
    <w:abstractNumId w:val="14"/>
  </w:num>
  <w:num w:numId="32" w16cid:durableId="1315454466">
    <w:abstractNumId w:val="11"/>
  </w:num>
  <w:num w:numId="33" w16cid:durableId="1685864299">
    <w:abstractNumId w:val="33"/>
  </w:num>
  <w:num w:numId="34" w16cid:durableId="102236858">
    <w:abstractNumId w:val="13"/>
  </w:num>
  <w:num w:numId="35" w16cid:durableId="1716391043">
    <w:abstractNumId w:val="29"/>
  </w:num>
  <w:num w:numId="36" w16cid:durableId="1924333867">
    <w:abstractNumId w:val="24"/>
  </w:num>
  <w:num w:numId="37" w16cid:durableId="51657896">
    <w:abstractNumId w:val="15"/>
  </w:num>
  <w:num w:numId="38" w16cid:durableId="27267236">
    <w:abstractNumId w:val="31"/>
  </w:num>
  <w:num w:numId="39" w16cid:durableId="346369062">
    <w:abstractNumId w:val="9"/>
  </w:num>
  <w:num w:numId="40" w16cid:durableId="438452996">
    <w:abstractNumId w:val="10"/>
  </w:num>
  <w:num w:numId="41" w16cid:durableId="1408764618">
    <w:abstractNumId w:val="26"/>
  </w:num>
  <w:num w:numId="42" w16cid:durableId="309336362">
    <w:abstractNumId w:val="21"/>
  </w:num>
  <w:num w:numId="43" w16cid:durableId="1651129495">
    <w:abstractNumId w:val="12"/>
  </w:num>
  <w:num w:numId="44" w16cid:durableId="223949753">
    <w:abstractNumId w:val="27"/>
  </w:num>
  <w:num w:numId="45" w16cid:durableId="369917275">
    <w:abstractNumId w:val="9"/>
  </w:num>
  <w:num w:numId="46" w16cid:durableId="339626049">
    <w:abstractNumId w:val="9"/>
  </w:num>
  <w:num w:numId="47" w16cid:durableId="412703890">
    <w:abstractNumId w:val="9"/>
  </w:num>
  <w:num w:numId="48" w16cid:durableId="716975015">
    <w:abstractNumId w:val="9"/>
  </w:num>
  <w:num w:numId="49" w16cid:durableId="47344746">
    <w:abstractNumId w:val="9"/>
  </w:num>
  <w:num w:numId="50" w16cid:durableId="1225679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4F5D"/>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12B"/>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23F5"/>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C7B3D"/>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44C3"/>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24B1"/>
    <w:rsid w:val="00CE5B1D"/>
    <w:rsid w:val="00CF008C"/>
    <w:rsid w:val="00CF0299"/>
    <w:rsid w:val="00CF15AA"/>
    <w:rsid w:val="00CF4997"/>
    <w:rsid w:val="00CF7ABB"/>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539"/>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2FAD"/>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0988560"/>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D420-DFF9-40B7-A6C5-F71B9932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1556</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Tanya Brcina</cp:lastModifiedBy>
  <cp:revision>2</cp:revision>
  <cp:lastPrinted>2021-06-07T04:46:00Z</cp:lastPrinted>
  <dcterms:created xsi:type="dcterms:W3CDTF">2024-04-26T02:25:00Z</dcterms:created>
  <dcterms:modified xsi:type="dcterms:W3CDTF">2024-04-26T02:25:00Z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